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A2" w:rsidRDefault="007B1E86" w:rsidP="006360C8">
      <w:pPr>
        <w:tabs>
          <w:tab w:val="left" w:pos="360"/>
        </w:tabs>
        <w:spacing w:line="264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="006360C8" w:rsidRPr="002C6F21">
        <w:rPr>
          <w:b/>
          <w:bCs/>
          <w:sz w:val="28"/>
          <w:szCs w:val="28"/>
        </w:rPr>
        <w:t>chém</w:t>
      </w:r>
      <w:r w:rsidR="002C5B39">
        <w:rPr>
          <w:b/>
          <w:bCs/>
          <w:sz w:val="28"/>
          <w:szCs w:val="28"/>
        </w:rPr>
        <w:t>a</w:t>
      </w:r>
      <w:r w:rsidR="006360C8" w:rsidRPr="002C6F21">
        <w:rPr>
          <w:b/>
          <w:bCs/>
          <w:sz w:val="28"/>
          <w:szCs w:val="28"/>
        </w:rPr>
        <w:t xml:space="preserve"> </w:t>
      </w:r>
      <w:r w:rsidR="009B351F">
        <w:rPr>
          <w:b/>
          <w:bCs/>
          <w:sz w:val="28"/>
          <w:szCs w:val="28"/>
        </w:rPr>
        <w:t xml:space="preserve">štátnej pomoci na </w:t>
      </w:r>
      <w:r w:rsidR="006360C8" w:rsidRPr="002C6F21">
        <w:rPr>
          <w:b/>
          <w:bCs/>
          <w:sz w:val="28"/>
          <w:szCs w:val="28"/>
        </w:rPr>
        <w:t>podpor</w:t>
      </w:r>
      <w:r w:rsidR="009B351F">
        <w:rPr>
          <w:b/>
          <w:bCs/>
          <w:sz w:val="28"/>
          <w:szCs w:val="28"/>
        </w:rPr>
        <w:t>u</w:t>
      </w:r>
      <w:r w:rsidR="006360C8" w:rsidRPr="002C6F21">
        <w:rPr>
          <w:b/>
          <w:bCs/>
          <w:sz w:val="28"/>
          <w:szCs w:val="28"/>
        </w:rPr>
        <w:t xml:space="preserve"> diverzifikácie </w:t>
      </w:r>
    </w:p>
    <w:p w:rsidR="006360C8" w:rsidRPr="002C6F21" w:rsidRDefault="006360C8" w:rsidP="006360C8">
      <w:pPr>
        <w:tabs>
          <w:tab w:val="left" w:pos="360"/>
        </w:tabs>
        <w:spacing w:line="264" w:lineRule="auto"/>
        <w:jc w:val="center"/>
        <w:rPr>
          <w:b/>
          <w:bCs/>
          <w:sz w:val="28"/>
          <w:szCs w:val="28"/>
        </w:rPr>
      </w:pPr>
      <w:r w:rsidRPr="002C6F21">
        <w:rPr>
          <w:b/>
          <w:bCs/>
          <w:sz w:val="28"/>
          <w:szCs w:val="28"/>
        </w:rPr>
        <w:t>nepoľnohospodárskych činností</w:t>
      </w:r>
      <w:r w:rsidR="002066B5">
        <w:rPr>
          <w:b/>
          <w:bCs/>
          <w:sz w:val="28"/>
          <w:szCs w:val="28"/>
        </w:rPr>
        <w:t xml:space="preserve"> </w:t>
      </w:r>
      <w:r w:rsidR="002066B5" w:rsidRPr="002066B5">
        <w:rPr>
          <w:b/>
          <w:bCs/>
          <w:sz w:val="28"/>
          <w:szCs w:val="28"/>
        </w:rPr>
        <w:t xml:space="preserve">(5.3.3.1 Programu rozvoja vidieka SR </w:t>
      </w:r>
      <w:r w:rsidR="005F0F2F">
        <w:rPr>
          <w:b/>
          <w:bCs/>
          <w:sz w:val="28"/>
          <w:szCs w:val="28"/>
        </w:rPr>
        <w:t xml:space="preserve"> </w:t>
      </w:r>
      <w:r w:rsidR="002066B5" w:rsidRPr="002066B5">
        <w:rPr>
          <w:b/>
          <w:bCs/>
          <w:sz w:val="28"/>
          <w:szCs w:val="28"/>
        </w:rPr>
        <w:t>2007 – 2013)</w:t>
      </w:r>
      <w:r w:rsidR="006919D7">
        <w:rPr>
          <w:b/>
          <w:bCs/>
          <w:sz w:val="28"/>
          <w:szCs w:val="28"/>
        </w:rPr>
        <w:t xml:space="preserve"> </w:t>
      </w:r>
      <w:r w:rsidR="00037968" w:rsidRPr="002C5B39">
        <w:rPr>
          <w:b/>
          <w:bCs/>
          <w:sz w:val="28"/>
          <w:szCs w:val="28"/>
        </w:rPr>
        <w:t xml:space="preserve">implementované </w:t>
      </w:r>
      <w:r w:rsidR="006919D7" w:rsidRPr="002C5B39">
        <w:rPr>
          <w:b/>
          <w:bCs/>
          <w:sz w:val="28"/>
          <w:szCs w:val="28"/>
        </w:rPr>
        <w:t>prostredníctvom osi 4 Leader</w:t>
      </w:r>
      <w:r w:rsidR="005F0F2F">
        <w:rPr>
          <w:b/>
          <w:bCs/>
          <w:sz w:val="28"/>
          <w:szCs w:val="28"/>
        </w:rPr>
        <w:t xml:space="preserve"> v znení Dodatku č. </w:t>
      </w:r>
      <w:r w:rsidR="00B669CD">
        <w:rPr>
          <w:b/>
          <w:bCs/>
          <w:sz w:val="28"/>
          <w:szCs w:val="28"/>
        </w:rPr>
        <w:t>2</w:t>
      </w:r>
    </w:p>
    <w:p w:rsidR="006360C8" w:rsidRDefault="006360C8" w:rsidP="006360C8">
      <w:pPr>
        <w:pStyle w:val="Textpoznmkypodiarou"/>
        <w:jc w:val="both"/>
        <w:rPr>
          <w:sz w:val="24"/>
          <w:szCs w:val="24"/>
          <w:u w:val="single"/>
        </w:rPr>
      </w:pPr>
    </w:p>
    <w:p w:rsidR="009B351F" w:rsidRPr="002C6F21" w:rsidRDefault="009B351F" w:rsidP="006360C8">
      <w:pPr>
        <w:pStyle w:val="Textpoznmkypodiarou"/>
        <w:jc w:val="both"/>
        <w:rPr>
          <w:sz w:val="24"/>
          <w:szCs w:val="24"/>
          <w:u w:val="single"/>
        </w:rPr>
      </w:pPr>
    </w:p>
    <w:p w:rsidR="006360C8" w:rsidRPr="000F42C8" w:rsidRDefault="006360C8" w:rsidP="006360C8">
      <w:pPr>
        <w:pStyle w:val="Textpoznmkypodiarou"/>
        <w:jc w:val="both"/>
        <w:rPr>
          <w:sz w:val="24"/>
          <w:szCs w:val="24"/>
          <w:u w:val="single"/>
        </w:rPr>
      </w:pPr>
      <w:r w:rsidRPr="002C6F21">
        <w:rPr>
          <w:sz w:val="24"/>
          <w:szCs w:val="24"/>
          <w:u w:val="single"/>
        </w:rPr>
        <w:t>Číslo schémy</w:t>
      </w:r>
      <w:r w:rsidR="002157DF">
        <w:rPr>
          <w:sz w:val="24"/>
          <w:szCs w:val="24"/>
          <w:u w:val="single"/>
        </w:rPr>
        <w:t>:</w:t>
      </w:r>
      <w:r w:rsidR="006919D7">
        <w:rPr>
          <w:sz w:val="24"/>
          <w:szCs w:val="24"/>
        </w:rPr>
        <w:t xml:space="preserve"> </w:t>
      </w:r>
      <w:r w:rsidR="002157DF" w:rsidRPr="002157DF">
        <w:rPr>
          <w:b/>
          <w:bCs/>
          <w:sz w:val="24"/>
          <w:szCs w:val="24"/>
        </w:rPr>
        <w:t>X 370/2010</w:t>
      </w:r>
    </w:p>
    <w:p w:rsidR="006360C8" w:rsidRPr="002C6F21" w:rsidRDefault="006360C8" w:rsidP="00F56238">
      <w:pPr>
        <w:pStyle w:val="Zkladntext2"/>
      </w:pPr>
      <w:r w:rsidRPr="002C6F21">
        <w:t xml:space="preserve">Schéma je vypracovaná v súlade s nariadením Komisie (ES) č. </w:t>
      </w:r>
      <w:r>
        <w:t xml:space="preserve">800/2008 o vyhlásení určitých kategórií pomoci za zlučiteľné so spoločným trhom podľa článkov 87 a 88 zmluvy (Všeobecné nariadenie o skupinových výnimkách) </w:t>
      </w:r>
      <w:r w:rsidRPr="002C6F21">
        <w:t>zverejnen</w:t>
      </w:r>
      <w:r w:rsidR="004A08A9">
        <w:t>í</w:t>
      </w:r>
      <w:r w:rsidRPr="002C6F21">
        <w:t>m v Úradnom vestníku E</w:t>
      </w:r>
      <w:r>
        <w:t>Ú</w:t>
      </w:r>
      <w:r w:rsidRPr="002C6F21">
        <w:t xml:space="preserve"> pod č. </w:t>
      </w:r>
      <w:r>
        <w:t>Ú.</w:t>
      </w:r>
      <w:r w:rsidR="0027590E">
        <w:t xml:space="preserve"> </w:t>
      </w:r>
      <w:r>
        <w:t>v.</w:t>
      </w:r>
      <w:r w:rsidRPr="002C6F21">
        <w:t xml:space="preserve"> </w:t>
      </w:r>
      <w:r>
        <w:t>L 214</w:t>
      </w:r>
      <w:r w:rsidRPr="002C6F21">
        <w:t xml:space="preserve">, </w:t>
      </w:r>
      <w:r>
        <w:t>9.</w:t>
      </w:r>
      <w:r w:rsidR="00B769D1">
        <w:t xml:space="preserve"> </w:t>
      </w:r>
      <w:r>
        <w:t>8.</w:t>
      </w:r>
      <w:r w:rsidR="00B769D1">
        <w:t xml:space="preserve"> </w:t>
      </w:r>
      <w:r>
        <w:t>2008</w:t>
      </w:r>
      <w:r w:rsidRPr="002C6F21">
        <w:t xml:space="preserve">, </w:t>
      </w:r>
      <w:r>
        <w:t>str.</w:t>
      </w:r>
      <w:r w:rsidR="00087806">
        <w:t xml:space="preserve"> </w:t>
      </w:r>
      <w:r w:rsidRPr="002C6F21">
        <w:t>3</w:t>
      </w:r>
      <w:r w:rsidR="003074DA">
        <w:t xml:space="preserve"> – </w:t>
      </w:r>
      <w:r w:rsidRPr="002C6F21">
        <w:t>4</w:t>
      </w:r>
      <w:r>
        <w:t>6.</w:t>
      </w:r>
      <w:r w:rsidRPr="002C6F21">
        <w:t xml:space="preserve"> </w:t>
      </w:r>
    </w:p>
    <w:p w:rsidR="006360C8" w:rsidRPr="002C6F21" w:rsidRDefault="006360C8" w:rsidP="00F56238">
      <w:pPr>
        <w:pStyle w:val="Zkladntext2"/>
      </w:pPr>
      <w:r w:rsidRPr="002C6F21">
        <w:t xml:space="preserve"> </w:t>
      </w:r>
    </w:p>
    <w:p w:rsidR="00B24778" w:rsidRPr="002C6F21" w:rsidRDefault="00B24778" w:rsidP="00B24778">
      <w:pPr>
        <w:suppressAutoHyphens/>
        <w:autoSpaceDE w:val="0"/>
        <w:jc w:val="both"/>
        <w:rPr>
          <w:sz w:val="24"/>
          <w:szCs w:val="24"/>
        </w:rPr>
      </w:pPr>
      <w:r w:rsidRPr="002C6F21">
        <w:rPr>
          <w:sz w:val="24"/>
          <w:szCs w:val="24"/>
        </w:rPr>
        <w:t xml:space="preserve">Schéma podpory diverzifikácie nepoľnohospodárskych činností (ďalej len „schéma“) vychádza z kontextu Programu rozvoja vidieka Slovenskej republiky na programové obdobie 2007 – 2013 (ďalej len „PRV“), ktorý je v súlade  s nariadením </w:t>
      </w:r>
      <w:r w:rsidRPr="002C6F21">
        <w:rPr>
          <w:sz w:val="24"/>
          <w:szCs w:val="24"/>
          <w:lang w:eastAsia="sk-SK"/>
        </w:rPr>
        <w:t>Rady (ES) č. 1698/2005 z        20. septembra 2005 o podpore rozvoja vidieka prostredníctvom Európskeho poľnohospodárskeho fondu pre rozvoj vidieka (Ú.</w:t>
      </w:r>
      <w:r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 xml:space="preserve">v. L </w:t>
      </w:r>
      <w:r>
        <w:rPr>
          <w:sz w:val="24"/>
          <w:szCs w:val="24"/>
          <w:lang w:eastAsia="sk-SK"/>
        </w:rPr>
        <w:t>277</w:t>
      </w:r>
      <w:r w:rsidRPr="002C6F21">
        <w:rPr>
          <w:sz w:val="24"/>
          <w:szCs w:val="24"/>
          <w:lang w:eastAsia="sk-SK"/>
        </w:rPr>
        <w:t>, 21.</w:t>
      </w:r>
      <w:r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>10.</w:t>
      </w:r>
      <w:r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>2005) a</w:t>
      </w:r>
      <w:r>
        <w:rPr>
          <w:sz w:val="24"/>
          <w:szCs w:val="24"/>
          <w:lang w:eastAsia="sk-SK"/>
        </w:rPr>
        <w:t> </w:t>
      </w:r>
      <w:r w:rsidRPr="00550820">
        <w:rPr>
          <w:sz w:val="24"/>
          <w:szCs w:val="24"/>
          <w:lang w:eastAsia="sk-SK"/>
        </w:rPr>
        <w:t>nariadením</w:t>
      </w:r>
      <w:r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>Komisie (ES) č. 1974/2006 z 15. decembra 2006, ktorým sa ustanovujú podrobné pravidlá vykonávania nariadenia Rady (ES) č. 1698/2005 o podpore rozvoja vidieka prostredníctvom E</w:t>
      </w:r>
      <w:r w:rsidR="00C2173A">
        <w:rPr>
          <w:sz w:val="24"/>
          <w:szCs w:val="24"/>
          <w:lang w:eastAsia="sk-SK"/>
        </w:rPr>
        <w:t>urópskeho poľnohospodárskeho fondu pre rozvoj vidieka</w:t>
      </w:r>
      <w:r w:rsidR="00A47701">
        <w:rPr>
          <w:sz w:val="24"/>
          <w:szCs w:val="24"/>
          <w:lang w:eastAsia="sk-SK"/>
        </w:rPr>
        <w:t xml:space="preserve"> (ďalej aj „EPFRV“)</w:t>
      </w:r>
      <w:r w:rsidR="00C2173A"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>(Ú. v. L 368, 23.</w:t>
      </w:r>
      <w:r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>12.</w:t>
      </w:r>
      <w:r>
        <w:rPr>
          <w:sz w:val="24"/>
          <w:szCs w:val="24"/>
          <w:lang w:eastAsia="sk-SK"/>
        </w:rPr>
        <w:t xml:space="preserve"> </w:t>
      </w:r>
      <w:r w:rsidRPr="002C6F21">
        <w:rPr>
          <w:sz w:val="24"/>
          <w:szCs w:val="24"/>
          <w:lang w:eastAsia="sk-SK"/>
        </w:rPr>
        <w:t>2006).</w:t>
      </w:r>
    </w:p>
    <w:p w:rsidR="006360C8" w:rsidRDefault="006360C8" w:rsidP="00A34AE2">
      <w:pPr>
        <w:jc w:val="both"/>
        <w:rPr>
          <w:sz w:val="24"/>
          <w:szCs w:val="24"/>
        </w:rPr>
      </w:pPr>
    </w:p>
    <w:p w:rsidR="006360C8" w:rsidRPr="002C6F21" w:rsidRDefault="006360C8" w:rsidP="00B407B3">
      <w:pPr>
        <w:pStyle w:val="Textpoznmkypodiarou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2C6F21">
        <w:rPr>
          <w:b/>
          <w:bCs/>
          <w:sz w:val="24"/>
          <w:szCs w:val="24"/>
        </w:rPr>
        <w:t>Preambula</w:t>
      </w:r>
    </w:p>
    <w:p w:rsidR="006360C8" w:rsidRPr="002C6F21" w:rsidRDefault="006360C8" w:rsidP="006360C8">
      <w:pPr>
        <w:jc w:val="both"/>
        <w:rPr>
          <w:sz w:val="24"/>
          <w:szCs w:val="24"/>
        </w:rPr>
      </w:pPr>
      <w:r w:rsidRPr="002C6F21">
        <w:rPr>
          <w:sz w:val="24"/>
          <w:szCs w:val="24"/>
        </w:rPr>
        <w:t>Poľnohospodárstvo vo vidieckych oblastiach nevytvára v súčasnom období dostatok pracovných príležitostí. Tieto oblasti sú najviac postihnuté negatívnym dopadom transformácie hospodárstva. Diverzifikácia vidieckej ekonomiky predstavuje zdroj nových pracovných príležitostí založených na miestnych prírodných, materiálnych a ľudských zdrojoch a tvorbu dodatočných príjmov ako</w:t>
      </w:r>
      <w:r w:rsidR="00B8609D">
        <w:rPr>
          <w:sz w:val="24"/>
          <w:szCs w:val="24"/>
        </w:rPr>
        <w:t xml:space="preserve"> u</w:t>
      </w:r>
      <w:r w:rsidRPr="002C6F21">
        <w:rPr>
          <w:sz w:val="24"/>
          <w:szCs w:val="24"/>
        </w:rPr>
        <w:t xml:space="preserve"> vidieckeho obyvateľstva, tak</w:t>
      </w:r>
      <w:r w:rsidR="00B8609D">
        <w:rPr>
          <w:sz w:val="24"/>
          <w:szCs w:val="24"/>
        </w:rPr>
        <w:t xml:space="preserve"> aj u</w:t>
      </w:r>
      <w:r w:rsidRPr="002C6F21">
        <w:rPr>
          <w:sz w:val="24"/>
          <w:szCs w:val="24"/>
        </w:rPr>
        <w:t xml:space="preserve"> poľnohospodárskych podnikateľských subjektov. Rozvoj a zachovanie zamestnanosti je jedným z kľúčových prvkov udržania osídlenia na vidieku. Diverzifikácia ekonomických aktivít tvorí významnú súčasť politiky trvalo udržateľného rozvoja vidieka.</w:t>
      </w:r>
    </w:p>
    <w:p w:rsidR="006360C8" w:rsidRPr="002C6F21" w:rsidRDefault="006360C8" w:rsidP="006360C8">
      <w:pPr>
        <w:jc w:val="both"/>
        <w:rPr>
          <w:sz w:val="24"/>
          <w:szCs w:val="24"/>
        </w:rPr>
      </w:pPr>
    </w:p>
    <w:p w:rsidR="006360C8" w:rsidRPr="002C6F21" w:rsidRDefault="006360C8" w:rsidP="006360C8">
      <w:pPr>
        <w:jc w:val="both"/>
        <w:rPr>
          <w:sz w:val="24"/>
          <w:szCs w:val="24"/>
        </w:rPr>
      </w:pPr>
      <w:r w:rsidRPr="002C6F21">
        <w:rPr>
          <w:sz w:val="24"/>
          <w:szCs w:val="24"/>
        </w:rPr>
        <w:t xml:space="preserve">Diverzifikácia vidieckej ekonomiky je preto základným prostriedkom zachovania a zlepšenia rovnováhy medzi ekonomickými príležitosťami a sociálnymi podmienkami obyvateľstva na vidieku. Ak sa vidiecke usadlosti budú môcť integrovať do širšej ekonomiky bez geografickej dislokácie, bude možné dosiahnuť  hlavný cieľ </w:t>
      </w:r>
      <w:r w:rsidR="00357E27">
        <w:rPr>
          <w:sz w:val="24"/>
          <w:szCs w:val="24"/>
        </w:rPr>
        <w:t xml:space="preserve">programu </w:t>
      </w:r>
      <w:r w:rsidRPr="002C6F21">
        <w:rPr>
          <w:sz w:val="24"/>
          <w:szCs w:val="24"/>
        </w:rPr>
        <w:t>rozvoja vidieka.</w:t>
      </w:r>
    </w:p>
    <w:p w:rsidR="006360C8" w:rsidRPr="002C6F21" w:rsidRDefault="006360C8" w:rsidP="006360C8">
      <w:pPr>
        <w:jc w:val="both"/>
        <w:rPr>
          <w:sz w:val="24"/>
          <w:szCs w:val="24"/>
        </w:rPr>
      </w:pPr>
    </w:p>
    <w:p w:rsidR="00BA1610" w:rsidRPr="00BB5C9A" w:rsidRDefault="00BA1610" w:rsidP="00BA1610">
      <w:pPr>
        <w:pStyle w:val="Zarkazkladnhotextu2"/>
        <w:spacing w:line="240" w:lineRule="auto"/>
        <w:ind w:firstLine="0"/>
      </w:pPr>
      <w:r w:rsidRPr="00BB5C9A">
        <w:t>Predmetom schémy je poskytovanie štátnej pomoci (ďalej len „pomoc“), formou  nenávratného finančného príspevku z EPFRV (Európsky poľnohospodársky fond pre rozvoj vidieka) a štátneho rozpočtu, na financovanie investičných projektov rozvoja malého a stredného podnikania, zameraných  na zlepšenie ekonomických príležitostí a sociálnych podmienok vidieckeho obyvateľstva a tým zabezpečenie ich stabilizácie vo vidieckom priestore, pričom pomoc je určená na začatie podnikania alebo na rozšírenie a skvalitnenie podnikania</w:t>
      </w:r>
      <w:r w:rsidRPr="00BB5C9A">
        <w:rPr>
          <w:b/>
          <w:bCs/>
        </w:rPr>
        <w:t>.</w:t>
      </w:r>
    </w:p>
    <w:p w:rsidR="00C2173A" w:rsidRDefault="00C2173A" w:rsidP="00A34AE2">
      <w:pPr>
        <w:pStyle w:val="Nadpis4"/>
        <w:numPr>
          <w:ilvl w:val="0"/>
          <w:numId w:val="0"/>
        </w:numPr>
        <w:spacing w:line="240" w:lineRule="auto"/>
        <w:rPr>
          <w:b/>
          <w:bCs/>
        </w:rPr>
      </w:pPr>
    </w:p>
    <w:p w:rsidR="006360C8" w:rsidRPr="002C6F21" w:rsidRDefault="006360C8" w:rsidP="00B407B3">
      <w:pPr>
        <w:pStyle w:val="Nadpis4"/>
        <w:numPr>
          <w:ilvl w:val="0"/>
          <w:numId w:val="34"/>
        </w:numPr>
        <w:spacing w:line="240" w:lineRule="auto"/>
        <w:rPr>
          <w:b/>
          <w:bCs/>
        </w:rPr>
      </w:pPr>
      <w:r w:rsidRPr="002C6F21">
        <w:rPr>
          <w:b/>
          <w:bCs/>
        </w:rPr>
        <w:t>Právny základ</w:t>
      </w:r>
    </w:p>
    <w:p w:rsidR="006360C8" w:rsidRDefault="006360C8" w:rsidP="006360C8">
      <w:pPr>
        <w:autoSpaceDE w:val="0"/>
        <w:jc w:val="both"/>
        <w:rPr>
          <w:sz w:val="24"/>
          <w:szCs w:val="24"/>
        </w:rPr>
      </w:pPr>
      <w:r w:rsidRPr="002C6F21">
        <w:rPr>
          <w:sz w:val="24"/>
          <w:szCs w:val="24"/>
        </w:rPr>
        <w:t>Právnym základom pre poskytnutie pomoci sú:</w:t>
      </w:r>
    </w:p>
    <w:p w:rsidR="0070016E" w:rsidRPr="002C6F21" w:rsidRDefault="00AE0B52" w:rsidP="00416029">
      <w:pPr>
        <w:pStyle w:val="Zkladntext2"/>
        <w:numPr>
          <w:ilvl w:val="0"/>
          <w:numId w:val="12"/>
        </w:numPr>
        <w:tabs>
          <w:tab w:val="num" w:pos="360"/>
        </w:tabs>
        <w:ind w:left="360"/>
      </w:pPr>
      <w:r>
        <w:t>N</w:t>
      </w:r>
      <w:r w:rsidR="0070016E" w:rsidRPr="002C6F21">
        <w:t xml:space="preserve">ariadenie Komisie (ES) č. </w:t>
      </w:r>
      <w:r w:rsidR="0070016E">
        <w:t>800/2008 o vyhlásení určitých kategórií pomoci za zlučiteľné so spoločným trhom podľa článkov 87 a 88 zmluvy (Všeobecné nariadenie o skupinových výnimkách) zverejnené v Úradnom vestníku EÚ pod č. Ú. v. L 214, 9. 8. 2008, str. 3 – 46</w:t>
      </w:r>
      <w:r w:rsidR="0070016E" w:rsidRPr="002C6F21">
        <w:t>,</w:t>
      </w:r>
      <w:r w:rsidRPr="00AE0B52">
        <w:rPr>
          <w:highlight w:val="cyan"/>
        </w:rPr>
        <w:t xml:space="preserve"> </w:t>
      </w:r>
      <w:r w:rsidRPr="00AE0B52">
        <w:t>(ďalej len „nariadenie Komisie (ES) č. 800/2008“),</w:t>
      </w:r>
    </w:p>
    <w:p w:rsidR="0070016E" w:rsidRPr="002C6F21" w:rsidRDefault="00AE0B52" w:rsidP="00416029">
      <w:pPr>
        <w:numPr>
          <w:ilvl w:val="0"/>
          <w:numId w:val="12"/>
        </w:numPr>
        <w:tabs>
          <w:tab w:val="num" w:pos="360"/>
        </w:tabs>
        <w:suppressAutoHyphens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70016E" w:rsidRPr="002C6F21">
        <w:rPr>
          <w:sz w:val="24"/>
          <w:szCs w:val="24"/>
        </w:rPr>
        <w:t>ákon č. 231/1999 Z. z. o štátnej pomoci v znení neskorších predpisov (ďalej len „zákon o štátnej pomoci“),</w:t>
      </w:r>
    </w:p>
    <w:p w:rsidR="0070016E" w:rsidRPr="002C6F21" w:rsidRDefault="00AE0B52" w:rsidP="00416029">
      <w:pPr>
        <w:numPr>
          <w:ilvl w:val="0"/>
          <w:numId w:val="12"/>
        </w:numPr>
        <w:tabs>
          <w:tab w:val="num" w:pos="360"/>
        </w:tabs>
        <w:suppressAutoHyphens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N</w:t>
      </w:r>
      <w:r w:rsidRPr="002C6F21">
        <w:rPr>
          <w:sz w:val="24"/>
          <w:szCs w:val="24"/>
          <w:lang w:eastAsia="sk-SK"/>
        </w:rPr>
        <w:t xml:space="preserve">ariadenie </w:t>
      </w:r>
      <w:r w:rsidR="0070016E" w:rsidRPr="002C6F21">
        <w:rPr>
          <w:sz w:val="24"/>
          <w:szCs w:val="24"/>
          <w:lang w:eastAsia="sk-SK"/>
        </w:rPr>
        <w:t>Rady (ES) č. 1698/2005 z 20. septembra 2005 o podpore rozvoja vidieka prostredníctvom Európskeho poľnohospodárskeho fondu pre rozvoj vidieka (EPFRV)</w:t>
      </w:r>
      <w:r w:rsidR="00AA6506">
        <w:rPr>
          <w:sz w:val="24"/>
          <w:szCs w:val="24"/>
          <w:lang w:eastAsia="sk-SK"/>
        </w:rPr>
        <w:t xml:space="preserve"> v platnom znení </w:t>
      </w:r>
      <w:r w:rsidR="0070016E" w:rsidRPr="002C6F21">
        <w:rPr>
          <w:sz w:val="24"/>
          <w:szCs w:val="24"/>
          <w:lang w:eastAsia="sk-SK"/>
        </w:rPr>
        <w:t>(Ú. v. L 227, 21.</w:t>
      </w:r>
      <w:r w:rsidR="0070016E">
        <w:rPr>
          <w:sz w:val="24"/>
          <w:szCs w:val="24"/>
          <w:lang w:eastAsia="sk-SK"/>
        </w:rPr>
        <w:t xml:space="preserve"> </w:t>
      </w:r>
      <w:r w:rsidR="0070016E" w:rsidRPr="002C6F21">
        <w:rPr>
          <w:sz w:val="24"/>
          <w:szCs w:val="24"/>
          <w:lang w:eastAsia="sk-SK"/>
        </w:rPr>
        <w:t>10.</w:t>
      </w:r>
      <w:r w:rsidR="0070016E">
        <w:rPr>
          <w:sz w:val="24"/>
          <w:szCs w:val="24"/>
          <w:lang w:eastAsia="sk-SK"/>
        </w:rPr>
        <w:t xml:space="preserve"> </w:t>
      </w:r>
      <w:r w:rsidR="0070016E" w:rsidRPr="002C6F21">
        <w:rPr>
          <w:sz w:val="24"/>
          <w:szCs w:val="24"/>
          <w:lang w:eastAsia="sk-SK"/>
        </w:rPr>
        <w:t>2005), (ďalej len „nariadenie Rady (ES) č. 1698/2005</w:t>
      </w:r>
      <w:r w:rsidR="0070016E">
        <w:rPr>
          <w:sz w:val="24"/>
          <w:szCs w:val="24"/>
          <w:lang w:eastAsia="sk-SK"/>
        </w:rPr>
        <w:t>“</w:t>
      </w:r>
      <w:r w:rsidR="0070016E" w:rsidRPr="002C6F21">
        <w:rPr>
          <w:sz w:val="24"/>
          <w:szCs w:val="24"/>
          <w:lang w:eastAsia="sk-SK"/>
        </w:rPr>
        <w:t>),</w:t>
      </w:r>
    </w:p>
    <w:p w:rsidR="0070016E" w:rsidRPr="002C6F21" w:rsidRDefault="00AE0B52" w:rsidP="00416029">
      <w:pPr>
        <w:numPr>
          <w:ilvl w:val="0"/>
          <w:numId w:val="12"/>
        </w:numPr>
        <w:tabs>
          <w:tab w:val="num" w:pos="360"/>
        </w:tabs>
        <w:suppressAutoHyphens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N</w:t>
      </w:r>
      <w:r w:rsidRPr="002C6F21">
        <w:rPr>
          <w:sz w:val="24"/>
          <w:szCs w:val="24"/>
          <w:lang w:eastAsia="sk-SK"/>
        </w:rPr>
        <w:t xml:space="preserve">ariadenie </w:t>
      </w:r>
      <w:r w:rsidR="0070016E" w:rsidRPr="002C6F21">
        <w:rPr>
          <w:sz w:val="24"/>
          <w:szCs w:val="24"/>
          <w:lang w:eastAsia="sk-SK"/>
        </w:rPr>
        <w:t>Komisie (ES) č. 1974/2006 z 15. decembra 2006, ktorým sa ustanovujú podrobné pravidlá vykonávania nariadenia Rady (ES) č. 1698/2005 o podpore rozvoja vidieka prostredníctvom Európskeho poľnohospodárskeho fondu pre rozvoj vidieka (EPFRV)</w:t>
      </w:r>
      <w:r w:rsidR="00AA6506">
        <w:rPr>
          <w:sz w:val="24"/>
          <w:szCs w:val="24"/>
          <w:lang w:eastAsia="sk-SK"/>
        </w:rPr>
        <w:t xml:space="preserve"> v platnom znení </w:t>
      </w:r>
      <w:r w:rsidR="0070016E" w:rsidRPr="002C6F21">
        <w:rPr>
          <w:sz w:val="24"/>
          <w:szCs w:val="24"/>
          <w:lang w:eastAsia="sk-SK"/>
        </w:rPr>
        <w:t>(Ú. v. L 368, 23.</w:t>
      </w:r>
      <w:r w:rsidR="0070016E">
        <w:rPr>
          <w:sz w:val="24"/>
          <w:szCs w:val="24"/>
          <w:lang w:eastAsia="sk-SK"/>
        </w:rPr>
        <w:t xml:space="preserve"> </w:t>
      </w:r>
      <w:r w:rsidR="0070016E" w:rsidRPr="002C6F21">
        <w:rPr>
          <w:sz w:val="24"/>
          <w:szCs w:val="24"/>
          <w:lang w:eastAsia="sk-SK"/>
        </w:rPr>
        <w:t>12.</w:t>
      </w:r>
      <w:r w:rsidR="0070016E">
        <w:rPr>
          <w:sz w:val="24"/>
          <w:szCs w:val="24"/>
          <w:lang w:eastAsia="sk-SK"/>
        </w:rPr>
        <w:t xml:space="preserve"> </w:t>
      </w:r>
      <w:r w:rsidR="0070016E" w:rsidRPr="002C6F21">
        <w:rPr>
          <w:sz w:val="24"/>
          <w:szCs w:val="24"/>
          <w:lang w:eastAsia="sk-SK"/>
        </w:rPr>
        <w:t>2006), (ďalej len „nariadenie Komisie (ES) č. 1974/2006</w:t>
      </w:r>
      <w:r w:rsidR="0070016E">
        <w:rPr>
          <w:sz w:val="24"/>
          <w:szCs w:val="24"/>
          <w:lang w:eastAsia="sk-SK"/>
        </w:rPr>
        <w:t>“</w:t>
      </w:r>
      <w:r w:rsidR="0070016E" w:rsidRPr="002C6F21">
        <w:rPr>
          <w:sz w:val="24"/>
          <w:szCs w:val="24"/>
          <w:lang w:eastAsia="sk-SK"/>
        </w:rPr>
        <w:t>),</w:t>
      </w:r>
    </w:p>
    <w:p w:rsidR="0070016E" w:rsidRPr="009B351F" w:rsidRDefault="00AE0B52" w:rsidP="0041602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B351F">
        <w:rPr>
          <w:sz w:val="24"/>
          <w:szCs w:val="24"/>
        </w:rPr>
        <w:t xml:space="preserve">ariadenie </w:t>
      </w:r>
      <w:r w:rsidR="0070016E" w:rsidRPr="009B351F">
        <w:rPr>
          <w:sz w:val="24"/>
          <w:szCs w:val="24"/>
        </w:rPr>
        <w:t xml:space="preserve">Rady (ES) č. 1083/2006 z 11. júla 2006, ktorým sa ustanovujú všeobecné ustanovenia o Európskom fonde regionálneho rozvoja, Európskom sociálnom fonde a Kohéznom fonde a ktorým sa zrušuje nariadenie (ES) č. 1260/1999 (Ú. v. L 210, </w:t>
      </w:r>
      <w:r w:rsidR="0070016E">
        <w:rPr>
          <w:sz w:val="24"/>
          <w:szCs w:val="24"/>
        </w:rPr>
        <w:t xml:space="preserve">          </w:t>
      </w:r>
      <w:r w:rsidR="0070016E" w:rsidRPr="009B351F">
        <w:rPr>
          <w:sz w:val="24"/>
          <w:szCs w:val="24"/>
        </w:rPr>
        <w:t>31.</w:t>
      </w:r>
      <w:r w:rsidR="0070016E">
        <w:rPr>
          <w:sz w:val="24"/>
          <w:szCs w:val="24"/>
        </w:rPr>
        <w:t xml:space="preserve"> </w:t>
      </w:r>
      <w:r w:rsidR="0070016E" w:rsidRPr="009B351F">
        <w:rPr>
          <w:sz w:val="24"/>
          <w:szCs w:val="24"/>
        </w:rPr>
        <w:t>7.</w:t>
      </w:r>
      <w:r w:rsidR="0070016E">
        <w:rPr>
          <w:sz w:val="24"/>
          <w:szCs w:val="24"/>
        </w:rPr>
        <w:t xml:space="preserve"> </w:t>
      </w:r>
      <w:r w:rsidR="0070016E" w:rsidRPr="009B351F">
        <w:rPr>
          <w:sz w:val="24"/>
          <w:szCs w:val="24"/>
        </w:rPr>
        <w:t>2006), (ďalej len „nariadenie Rady (ES) č. 1083/2006</w:t>
      </w:r>
      <w:r w:rsidR="0070016E">
        <w:rPr>
          <w:sz w:val="24"/>
          <w:szCs w:val="24"/>
        </w:rPr>
        <w:t>“</w:t>
      </w:r>
      <w:r w:rsidR="0070016E" w:rsidRPr="009B351F">
        <w:rPr>
          <w:sz w:val="24"/>
          <w:szCs w:val="24"/>
        </w:rPr>
        <w:t>),</w:t>
      </w:r>
    </w:p>
    <w:p w:rsidR="00AE0B52" w:rsidRDefault="00AE0B52" w:rsidP="0041602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B351F">
        <w:rPr>
          <w:sz w:val="24"/>
          <w:szCs w:val="24"/>
        </w:rPr>
        <w:t xml:space="preserve">ákon </w:t>
      </w:r>
      <w:r w:rsidR="0070016E" w:rsidRPr="009B351F">
        <w:rPr>
          <w:sz w:val="24"/>
          <w:szCs w:val="24"/>
        </w:rPr>
        <w:t>č.</w:t>
      </w:r>
      <w:r w:rsidR="0070016E">
        <w:rPr>
          <w:sz w:val="24"/>
          <w:szCs w:val="24"/>
        </w:rPr>
        <w:t xml:space="preserve"> </w:t>
      </w:r>
      <w:r w:rsidR="0070016E" w:rsidRPr="009B351F">
        <w:rPr>
          <w:sz w:val="24"/>
          <w:szCs w:val="24"/>
        </w:rPr>
        <w:t>528/2008 Z. z. o pomoci a podpore poskytovanej z fondov Európske</w:t>
      </w:r>
      <w:r w:rsidR="002C5B39">
        <w:rPr>
          <w:sz w:val="24"/>
          <w:szCs w:val="24"/>
        </w:rPr>
        <w:t>j</w:t>
      </w:r>
      <w:r w:rsidR="0070016E">
        <w:rPr>
          <w:sz w:val="24"/>
          <w:szCs w:val="24"/>
        </w:rPr>
        <w:t xml:space="preserve"> </w:t>
      </w:r>
      <w:r w:rsidR="002C5B39">
        <w:rPr>
          <w:sz w:val="24"/>
          <w:szCs w:val="24"/>
        </w:rPr>
        <w:t xml:space="preserve">únie v znení neskorších </w:t>
      </w:r>
      <w:r w:rsidR="00D02FD3">
        <w:rPr>
          <w:sz w:val="24"/>
          <w:szCs w:val="24"/>
        </w:rPr>
        <w:t>predpisov</w:t>
      </w:r>
      <w:r w:rsidR="0070016E">
        <w:rPr>
          <w:sz w:val="24"/>
          <w:szCs w:val="24"/>
        </w:rPr>
        <w:t>.</w:t>
      </w:r>
    </w:p>
    <w:p w:rsidR="0070016E" w:rsidRPr="002C6F21" w:rsidRDefault="0070016E" w:rsidP="00AE0B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0C8" w:rsidRPr="002C6F21" w:rsidRDefault="006360C8" w:rsidP="00B407B3">
      <w:pPr>
        <w:pStyle w:val="Nadpis4"/>
        <w:numPr>
          <w:ilvl w:val="0"/>
          <w:numId w:val="34"/>
        </w:numPr>
        <w:spacing w:line="240" w:lineRule="auto"/>
        <w:rPr>
          <w:b/>
          <w:bCs/>
        </w:rPr>
      </w:pPr>
      <w:r w:rsidRPr="002C6F21">
        <w:rPr>
          <w:b/>
          <w:bCs/>
        </w:rPr>
        <w:t xml:space="preserve">Účel pomoci </w:t>
      </w:r>
    </w:p>
    <w:p w:rsidR="006360C8" w:rsidRPr="008F6A0B" w:rsidRDefault="008F6A0B" w:rsidP="008F6A0B">
      <w:pPr>
        <w:jc w:val="both"/>
        <w:rPr>
          <w:sz w:val="24"/>
          <w:szCs w:val="24"/>
        </w:rPr>
      </w:pPr>
      <w:r w:rsidRPr="008F6A0B">
        <w:rPr>
          <w:sz w:val="24"/>
          <w:szCs w:val="24"/>
        </w:rPr>
        <w:t xml:space="preserve">V súlade s článkom 13 nariadenia Komisie (ES) č. 800/2008 sa pomoc charakterizuje ako regionálna investičná pomoc. </w:t>
      </w:r>
      <w:r w:rsidR="006360C8" w:rsidRPr="008F6A0B">
        <w:rPr>
          <w:sz w:val="24"/>
          <w:szCs w:val="24"/>
        </w:rPr>
        <w:t>Účelom poskytnutia pomoci je diverzifikácia smerom k nepoľnohospodárskym aktivitám, rozvoj nepoľnohospodárskych aktivít (vstupy a výstupy nezahrnuté v Prílohe I Zmluvy o založení ES) a zvyšovanie vidieckej zamestnanosti</w:t>
      </w:r>
      <w:r>
        <w:rPr>
          <w:sz w:val="24"/>
          <w:szCs w:val="24"/>
        </w:rPr>
        <w:t>, pričom vytvorené pracovné miesta musia byť priamo v nadväznosti na investičný projekt</w:t>
      </w:r>
      <w:r w:rsidR="006360C8" w:rsidRPr="008F6A0B">
        <w:rPr>
          <w:sz w:val="24"/>
          <w:szCs w:val="24"/>
        </w:rPr>
        <w:t>.</w:t>
      </w:r>
    </w:p>
    <w:p w:rsidR="006360C8" w:rsidRPr="002C6F21" w:rsidRDefault="006360C8" w:rsidP="001369D1">
      <w:pPr>
        <w:pStyle w:val="Zkladntext2"/>
      </w:pPr>
      <w:r w:rsidRPr="002C6F21">
        <w:t>Tento cieľ sa bude napĺňať predovšetkým prostredníctvom:</w:t>
      </w:r>
    </w:p>
    <w:p w:rsidR="006360C8" w:rsidRDefault="006360C8" w:rsidP="00416029">
      <w:pPr>
        <w:pStyle w:val="Zkladntext2"/>
        <w:numPr>
          <w:ilvl w:val="0"/>
          <w:numId w:val="9"/>
        </w:numPr>
      </w:pPr>
      <w:r>
        <w:t>rozširovania alternatívnych zdrojov príjmov cestou zriaďovania doplnkových výrob nepoľnohospodárskeho charakteru,</w:t>
      </w:r>
    </w:p>
    <w:p w:rsidR="006360C8" w:rsidRPr="002C6F21" w:rsidRDefault="006360C8" w:rsidP="0041602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2C6F21">
        <w:rPr>
          <w:sz w:val="24"/>
          <w:szCs w:val="24"/>
        </w:rPr>
        <w:t>tvorby nových a zachovania už existujúcich pracovných miest.</w:t>
      </w:r>
    </w:p>
    <w:p w:rsidR="008F6A0B" w:rsidRDefault="008F6A0B" w:rsidP="00A34AE2">
      <w:pPr>
        <w:jc w:val="both"/>
        <w:rPr>
          <w:sz w:val="24"/>
          <w:szCs w:val="24"/>
        </w:rPr>
      </w:pPr>
    </w:p>
    <w:p w:rsidR="006360C8" w:rsidRPr="002C6F21" w:rsidRDefault="006360C8" w:rsidP="00B407B3">
      <w:pPr>
        <w:pStyle w:val="Nadpis4"/>
        <w:numPr>
          <w:ilvl w:val="0"/>
          <w:numId w:val="34"/>
        </w:numPr>
        <w:spacing w:line="240" w:lineRule="auto"/>
        <w:rPr>
          <w:b/>
          <w:bCs/>
        </w:rPr>
      </w:pPr>
      <w:r w:rsidRPr="002C6F21">
        <w:rPr>
          <w:b/>
          <w:bCs/>
        </w:rPr>
        <w:t>Poskytovateľ pomoci</w:t>
      </w:r>
      <w:r w:rsidR="00BC2AEB">
        <w:rPr>
          <w:b/>
          <w:bCs/>
        </w:rPr>
        <w:t xml:space="preserve"> a vykonávateľ schémy</w:t>
      </w:r>
    </w:p>
    <w:p w:rsidR="006360C8" w:rsidRPr="002C6F21" w:rsidRDefault="006360C8" w:rsidP="006360C8">
      <w:pPr>
        <w:pStyle w:val="Zkladntext23"/>
        <w:spacing w:line="264" w:lineRule="auto"/>
        <w:jc w:val="left"/>
      </w:pPr>
      <w:r w:rsidRPr="002C6F21">
        <w:t>Poskytovateľ pomoci:</w:t>
      </w:r>
    </w:p>
    <w:p w:rsidR="006360C8" w:rsidRPr="002C6F21" w:rsidRDefault="006360C8" w:rsidP="006360C8">
      <w:pPr>
        <w:pStyle w:val="Zkladntext21"/>
        <w:spacing w:line="264" w:lineRule="auto"/>
      </w:pPr>
      <w:r w:rsidRPr="002C6F21">
        <w:t>Ministerstvo pôdohospodárstva</w:t>
      </w:r>
      <w:r w:rsidR="00C54DAF">
        <w:t xml:space="preserve"> a </w:t>
      </w:r>
      <w:r w:rsidR="00A47701">
        <w:t>rozvoja</w:t>
      </w:r>
      <w:r w:rsidRPr="002C6F21">
        <w:t xml:space="preserve"> </w:t>
      </w:r>
      <w:r w:rsidR="00C54DAF">
        <w:t xml:space="preserve">vidieka </w:t>
      </w:r>
      <w:r w:rsidRPr="002C6F21">
        <w:t>SR (ďalej len „ministerstvo“)</w:t>
      </w:r>
    </w:p>
    <w:p w:rsidR="006360C8" w:rsidRPr="002C6F21" w:rsidRDefault="006360C8" w:rsidP="006360C8">
      <w:pPr>
        <w:pStyle w:val="Zkladntext21"/>
        <w:tabs>
          <w:tab w:val="clear" w:pos="360"/>
        </w:tabs>
        <w:spacing w:line="264" w:lineRule="auto"/>
      </w:pPr>
      <w:r w:rsidRPr="002C6F21">
        <w:t xml:space="preserve">Dobrovičova 12 </w:t>
      </w:r>
    </w:p>
    <w:p w:rsidR="006360C8" w:rsidRPr="002C6F21" w:rsidRDefault="006360C8" w:rsidP="006360C8">
      <w:pPr>
        <w:pStyle w:val="Zkladntext21"/>
        <w:tabs>
          <w:tab w:val="clear" w:pos="360"/>
        </w:tabs>
        <w:spacing w:line="264" w:lineRule="auto"/>
      </w:pPr>
      <w:r w:rsidRPr="002C6F21">
        <w:t>Bratislava 812 66</w:t>
      </w:r>
    </w:p>
    <w:p w:rsidR="006360C8" w:rsidRPr="002C6F21" w:rsidRDefault="006360C8" w:rsidP="006360C8">
      <w:pPr>
        <w:pStyle w:val="Zkladntext21"/>
        <w:tabs>
          <w:tab w:val="clear" w:pos="360"/>
        </w:tabs>
        <w:spacing w:line="264" w:lineRule="auto"/>
      </w:pPr>
      <w:r w:rsidRPr="002C6F21">
        <w:t>Slovenská republika</w:t>
      </w:r>
    </w:p>
    <w:p w:rsidR="006360C8" w:rsidRPr="002C6F21" w:rsidRDefault="006360C8" w:rsidP="006360C8">
      <w:pPr>
        <w:pStyle w:val="Zkladntext21"/>
        <w:tabs>
          <w:tab w:val="clear" w:pos="360"/>
        </w:tabs>
        <w:spacing w:line="264" w:lineRule="auto"/>
      </w:pPr>
      <w:r w:rsidRPr="002C6F21">
        <w:t>Tel.: + 421 2 592 66 111</w:t>
      </w:r>
    </w:p>
    <w:p w:rsidR="006360C8" w:rsidRPr="002C6F21" w:rsidRDefault="00091E4B" w:rsidP="006360C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Webové sídlo</w:t>
      </w:r>
      <w:r w:rsidR="006360C8" w:rsidRPr="002C6F21">
        <w:rPr>
          <w:sz w:val="24"/>
          <w:szCs w:val="24"/>
        </w:rPr>
        <w:t xml:space="preserve">: </w:t>
      </w:r>
      <w:hyperlink r:id="rId7" w:history="1">
        <w:r w:rsidR="006360C8" w:rsidRPr="00000475">
          <w:rPr>
            <w:rStyle w:val="Hypertextovprepojenie"/>
            <w:sz w:val="24"/>
            <w:szCs w:val="24"/>
          </w:rPr>
          <w:t>www.land.gov.sk</w:t>
        </w:r>
      </w:hyperlink>
      <w:r w:rsidR="006360C8" w:rsidRPr="00000475">
        <w:rPr>
          <w:sz w:val="24"/>
          <w:szCs w:val="24"/>
        </w:rPr>
        <w:t xml:space="preserve">, </w:t>
      </w:r>
    </w:p>
    <w:p w:rsidR="00161CDD" w:rsidRPr="002C6F21" w:rsidRDefault="00161CDD" w:rsidP="00161CDD">
      <w:pPr>
        <w:tabs>
          <w:tab w:val="left" w:pos="360"/>
        </w:tabs>
        <w:jc w:val="both"/>
        <w:rPr>
          <w:i/>
          <w:iCs/>
          <w:sz w:val="24"/>
          <w:szCs w:val="24"/>
        </w:rPr>
      </w:pPr>
    </w:p>
    <w:p w:rsidR="006360C8" w:rsidRPr="002C6F21" w:rsidRDefault="006360C8" w:rsidP="00161CDD">
      <w:pPr>
        <w:pStyle w:val="Zkladntext21"/>
        <w:rPr>
          <w:i/>
          <w:iCs/>
          <w:spacing w:val="-4"/>
        </w:rPr>
      </w:pPr>
      <w:r w:rsidRPr="002C6F21">
        <w:rPr>
          <w:spacing w:val="-4"/>
        </w:rPr>
        <w:t>Pôsobnosť  ministerstva je ustanovená zákonom č. 575/2001 Z. z. o organizácii činnosti vlády a organizácii ústrednej štátnej správy v znení neskorších predpisov</w:t>
      </w:r>
      <w:r w:rsidRPr="002C6F21">
        <w:rPr>
          <w:i/>
          <w:iCs/>
          <w:spacing w:val="-4"/>
        </w:rPr>
        <w:t>.</w:t>
      </w:r>
    </w:p>
    <w:p w:rsidR="00D4568F" w:rsidRDefault="00D4568F" w:rsidP="00161CDD">
      <w:pPr>
        <w:pStyle w:val="Zkladntext21"/>
      </w:pPr>
    </w:p>
    <w:p w:rsidR="006360C8" w:rsidRPr="00BC2AEB" w:rsidRDefault="006360C8" w:rsidP="006360C8">
      <w:pPr>
        <w:pStyle w:val="Zkladntext21"/>
        <w:spacing w:line="264" w:lineRule="auto"/>
        <w:rPr>
          <w:bCs/>
        </w:rPr>
      </w:pPr>
      <w:r w:rsidRPr="00BC2AEB">
        <w:rPr>
          <w:bCs/>
        </w:rPr>
        <w:t>Vykonávateľ schémy:</w:t>
      </w:r>
    </w:p>
    <w:p w:rsidR="006360C8" w:rsidRPr="002C6F21" w:rsidRDefault="006360C8" w:rsidP="006360C8">
      <w:pPr>
        <w:rPr>
          <w:sz w:val="24"/>
          <w:szCs w:val="24"/>
        </w:rPr>
      </w:pPr>
      <w:r w:rsidRPr="002C6F21">
        <w:rPr>
          <w:sz w:val="24"/>
          <w:szCs w:val="24"/>
        </w:rPr>
        <w:t>Pôdohospodárska platobná agentúra (ďalej len „</w:t>
      </w:r>
      <w:r w:rsidR="000470D6">
        <w:rPr>
          <w:sz w:val="24"/>
          <w:szCs w:val="24"/>
        </w:rPr>
        <w:t>PPA</w:t>
      </w:r>
      <w:r w:rsidRPr="002C6F21">
        <w:rPr>
          <w:sz w:val="24"/>
          <w:szCs w:val="24"/>
        </w:rPr>
        <w:t>“)</w:t>
      </w:r>
    </w:p>
    <w:p w:rsidR="006360C8" w:rsidRPr="002C6F21" w:rsidRDefault="006360C8" w:rsidP="006360C8">
      <w:pPr>
        <w:rPr>
          <w:sz w:val="24"/>
          <w:szCs w:val="24"/>
        </w:rPr>
      </w:pPr>
      <w:r w:rsidRPr="002C6F21">
        <w:rPr>
          <w:sz w:val="24"/>
          <w:szCs w:val="24"/>
        </w:rPr>
        <w:t>Dobrovičova 12</w:t>
      </w:r>
    </w:p>
    <w:p w:rsidR="006360C8" w:rsidRPr="002C6F21" w:rsidRDefault="006360C8" w:rsidP="006360C8">
      <w:pPr>
        <w:rPr>
          <w:sz w:val="24"/>
          <w:szCs w:val="24"/>
        </w:rPr>
      </w:pPr>
      <w:r w:rsidRPr="002C6F21">
        <w:rPr>
          <w:sz w:val="24"/>
          <w:szCs w:val="24"/>
        </w:rPr>
        <w:t>Bratislava 815 26</w:t>
      </w:r>
    </w:p>
    <w:p w:rsidR="006360C8" w:rsidRPr="002C6F21" w:rsidRDefault="006360C8" w:rsidP="006360C8">
      <w:pPr>
        <w:rPr>
          <w:sz w:val="24"/>
          <w:szCs w:val="24"/>
        </w:rPr>
      </w:pPr>
      <w:r w:rsidRPr="002C6F21">
        <w:rPr>
          <w:sz w:val="24"/>
          <w:szCs w:val="24"/>
        </w:rPr>
        <w:t>Slovenská republika</w:t>
      </w:r>
    </w:p>
    <w:p w:rsidR="006360C8" w:rsidRPr="002C6F21" w:rsidRDefault="006360C8" w:rsidP="006360C8">
      <w:pPr>
        <w:rPr>
          <w:sz w:val="24"/>
          <w:szCs w:val="24"/>
        </w:rPr>
      </w:pPr>
      <w:r w:rsidRPr="002C6F21">
        <w:rPr>
          <w:sz w:val="24"/>
          <w:szCs w:val="24"/>
        </w:rPr>
        <w:t>Tel : + 421 2 592 66 111</w:t>
      </w:r>
    </w:p>
    <w:p w:rsidR="006360C8" w:rsidRPr="002C6F21" w:rsidRDefault="00091E4B" w:rsidP="006360C8">
      <w:pPr>
        <w:rPr>
          <w:sz w:val="24"/>
          <w:szCs w:val="24"/>
        </w:rPr>
      </w:pPr>
      <w:r>
        <w:rPr>
          <w:sz w:val="24"/>
          <w:szCs w:val="24"/>
        </w:rPr>
        <w:t>Webové sídlo</w:t>
      </w:r>
      <w:r w:rsidR="006360C8" w:rsidRPr="002C6F21">
        <w:rPr>
          <w:b/>
          <w:bCs/>
          <w:sz w:val="24"/>
          <w:szCs w:val="24"/>
        </w:rPr>
        <w:t xml:space="preserve">: </w:t>
      </w:r>
      <w:hyperlink r:id="rId8" w:history="1">
        <w:r w:rsidR="006360C8" w:rsidRPr="00000475">
          <w:rPr>
            <w:rStyle w:val="Hypertextovprepojenie"/>
            <w:sz w:val="24"/>
            <w:szCs w:val="24"/>
          </w:rPr>
          <w:t>www.apa.sk</w:t>
        </w:r>
      </w:hyperlink>
    </w:p>
    <w:p w:rsidR="006360C8" w:rsidRPr="002C6F21" w:rsidRDefault="006360C8" w:rsidP="00161CDD">
      <w:pPr>
        <w:pStyle w:val="Zkladntext21"/>
      </w:pPr>
    </w:p>
    <w:p w:rsidR="006360C8" w:rsidRPr="009B351F" w:rsidRDefault="006360C8" w:rsidP="00161CDD">
      <w:pPr>
        <w:pStyle w:val="Zkladntext21"/>
      </w:pPr>
      <w:r w:rsidRPr="002C6F21">
        <w:t>P</w:t>
      </w:r>
      <w:r w:rsidR="000470D6">
        <w:t xml:space="preserve">PA </w:t>
      </w:r>
      <w:r w:rsidRPr="002C6F21">
        <w:t xml:space="preserve">je rozpočtovou organizáciou ministerstva, ktorá vznikla 1. decembra 2003 na základe zákona č. 473/2003 Z. z. o Pôdohospodárskej platobnej agentúre, o podpore </w:t>
      </w:r>
      <w:r w:rsidRPr="009B351F">
        <w:t>podnikania v pôdohospodárstve a o zmene a doplnení niektorých zákonov. Zabezpečuje administráciu podporných mechanizmov v sektore pôdohospodárstva.</w:t>
      </w:r>
    </w:p>
    <w:p w:rsidR="006360C8" w:rsidRPr="009B351F" w:rsidRDefault="006360C8" w:rsidP="00161CDD">
      <w:pPr>
        <w:rPr>
          <w:sz w:val="24"/>
          <w:szCs w:val="24"/>
        </w:rPr>
      </w:pPr>
    </w:p>
    <w:p w:rsidR="00A86A36" w:rsidRDefault="008834B9" w:rsidP="00B407B3">
      <w:pPr>
        <w:pStyle w:val="Nadpis4"/>
        <w:numPr>
          <w:ilvl w:val="0"/>
          <w:numId w:val="34"/>
        </w:numPr>
        <w:spacing w:line="240" w:lineRule="auto"/>
        <w:rPr>
          <w:b/>
          <w:bCs/>
        </w:rPr>
      </w:pPr>
      <w:r>
        <w:rPr>
          <w:b/>
          <w:bCs/>
        </w:rPr>
        <w:t>Konečný prijímateľ (Oprávnený žiadateľ)</w:t>
      </w:r>
    </w:p>
    <w:p w:rsidR="00850462" w:rsidRPr="00BB5C9A" w:rsidRDefault="00850462" w:rsidP="00850462">
      <w:pPr>
        <w:pStyle w:val="Zkladntext2"/>
        <w:tabs>
          <w:tab w:val="left" w:pos="3052"/>
        </w:tabs>
      </w:pPr>
      <w:r w:rsidRPr="00BB5C9A">
        <w:t xml:space="preserve">Právnické osoby a fyzické osoby (malé a stredné podniky v zmysle </w:t>
      </w:r>
      <w:r w:rsidR="00D02FD3">
        <w:t>Prílohy I nariadenia Komisie (ES) č. 800/2008</w:t>
      </w:r>
      <w:r w:rsidR="001B7EC2">
        <w:rPr>
          <w:rStyle w:val="Odkaznapoznmkupodiarou"/>
        </w:rPr>
        <w:footnoteReference w:id="1"/>
      </w:r>
      <w:r w:rsidRPr="00BB5C9A">
        <w:t xml:space="preserve"> podnikajúce v oblasti poľnohospodárstva, ktorých podiel ročných tržieb/príjmov z poľnohospodárskej prvovýroby na celkových tržbách/príjmoch za posledné uzatvorené účtovné obdobie predstavuje minimálne 30 %.</w:t>
      </w:r>
      <w:r w:rsidR="0040712E" w:rsidRPr="0040712E">
        <w:t xml:space="preserve"> </w:t>
      </w:r>
      <w:r w:rsidR="00BA1610">
        <w:t>Koneční prijímatelia – predkladatelia projektov</w:t>
      </w:r>
      <w:r w:rsidR="0040712E" w:rsidRPr="00BB5C9A">
        <w:t xml:space="preserve"> musia podnikať v poľnohospodárskej prvovýrobe minimálne 12 po sebe nasledujúcich mesiacov  pred podaním </w:t>
      </w:r>
      <w:r w:rsidR="00A47701">
        <w:t>žiadosti o nenávratný finančný príspevok (ďalej len „ŽoNFP“)</w:t>
      </w:r>
      <w:r w:rsidR="0040712E" w:rsidRPr="00BB5C9A">
        <w:t>. Preukazuje sa pri ŽoNFP.</w:t>
      </w:r>
    </w:p>
    <w:p w:rsidR="00BA1610" w:rsidRDefault="00BA1610" w:rsidP="00850462">
      <w:pPr>
        <w:pStyle w:val="Zkladntext2"/>
        <w:tabs>
          <w:tab w:val="left" w:pos="3052"/>
        </w:tabs>
      </w:pPr>
    </w:p>
    <w:p w:rsidR="00850462" w:rsidRDefault="00BA1610" w:rsidP="00850462">
      <w:pPr>
        <w:pStyle w:val="Zkladntext2"/>
        <w:tabs>
          <w:tab w:val="left" w:pos="3052"/>
        </w:tabs>
      </w:pPr>
      <w:r>
        <w:t>Ak konečný prijímateľ – predkladateľ projektu</w:t>
      </w:r>
      <w:r w:rsidR="00850462" w:rsidRPr="00B947AF">
        <w:t xml:space="preserve"> vykazuje podiel tržieb/príjmov z poľnohospodárskej prvovýroby nižší ako 30 %, ale investícia zahŕňa viac ako 10 lôžok, môže o podporu požiadať z OP KaHR, ktorý je v gescii MH SR.</w:t>
      </w:r>
    </w:p>
    <w:p w:rsidR="00BA1610" w:rsidRPr="00B230A0" w:rsidRDefault="00BA1610" w:rsidP="00BA1610">
      <w:pPr>
        <w:keepLines/>
        <w:widowControl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sz w:val="24"/>
          <w:szCs w:val="24"/>
        </w:rPr>
      </w:pPr>
      <w:r w:rsidRPr="00B230A0">
        <w:rPr>
          <w:sz w:val="24"/>
          <w:szCs w:val="24"/>
        </w:rPr>
        <w:t xml:space="preserve">Koneční prijímatelia – predkladatelia projektu  sú definovaní vo Výzve na predkladanie </w:t>
      </w:r>
      <w:r w:rsidR="00A47701">
        <w:rPr>
          <w:sz w:val="24"/>
          <w:szCs w:val="24"/>
        </w:rPr>
        <w:t>ŽoNFP</w:t>
      </w:r>
      <w:r w:rsidR="00C014D4" w:rsidRPr="00C014D4">
        <w:rPr>
          <w:sz w:val="24"/>
          <w:szCs w:val="24"/>
        </w:rPr>
        <w:t xml:space="preserve"> </w:t>
      </w:r>
      <w:r w:rsidRPr="00B230A0">
        <w:rPr>
          <w:sz w:val="24"/>
          <w:szCs w:val="24"/>
        </w:rPr>
        <w:t xml:space="preserve">z Programu rozvoja vidieka SR 2007 </w:t>
      </w:r>
      <w:r w:rsidR="008718E8">
        <w:rPr>
          <w:sz w:val="24"/>
          <w:szCs w:val="24"/>
        </w:rPr>
        <w:t xml:space="preserve">– </w:t>
      </w:r>
      <w:r w:rsidRPr="00B230A0">
        <w:rPr>
          <w:sz w:val="24"/>
          <w:szCs w:val="24"/>
        </w:rPr>
        <w:t>2013 (projekt) v rámci implementácie Integrovanej stratégie rozvoja územia (ďalej len „Výzva na implementáciu stratégie“),</w:t>
      </w:r>
      <w:r>
        <w:rPr>
          <w:sz w:val="24"/>
          <w:szCs w:val="24"/>
        </w:rPr>
        <w:t xml:space="preserve"> </w:t>
      </w:r>
      <w:r w:rsidRPr="00B230A0">
        <w:rPr>
          <w:sz w:val="24"/>
          <w:szCs w:val="24"/>
        </w:rPr>
        <w:t xml:space="preserve">ktorú zverejní príslušná </w:t>
      </w:r>
      <w:r>
        <w:rPr>
          <w:sz w:val="24"/>
          <w:szCs w:val="24"/>
        </w:rPr>
        <w:t>m</w:t>
      </w:r>
      <w:r w:rsidRPr="00B230A0">
        <w:rPr>
          <w:sz w:val="24"/>
          <w:szCs w:val="24"/>
        </w:rPr>
        <w:t>iestna akčná skupina (ďalej len „MAS“)  a to v súlade s Integrovanou stratégiou rozvoja územia (ďalej len „</w:t>
      </w:r>
      <w:r>
        <w:rPr>
          <w:sz w:val="24"/>
          <w:szCs w:val="24"/>
        </w:rPr>
        <w:t>stratégia</w:t>
      </w:r>
      <w:r w:rsidRPr="00B230A0">
        <w:rPr>
          <w:sz w:val="24"/>
          <w:szCs w:val="24"/>
        </w:rPr>
        <w:t>“)</w:t>
      </w:r>
      <w:r w:rsidRPr="00B230A0">
        <w:rPr>
          <w:rStyle w:val="Odkaznapoznmkupodiarou"/>
          <w:sz w:val="24"/>
          <w:szCs w:val="24"/>
        </w:rPr>
        <w:footnoteReference w:id="2"/>
      </w:r>
      <w:r>
        <w:rPr>
          <w:sz w:val="24"/>
          <w:szCs w:val="24"/>
        </w:rPr>
        <w:t>.</w:t>
      </w:r>
      <w:r w:rsidRPr="00B230A0">
        <w:rPr>
          <w:sz w:val="24"/>
          <w:szCs w:val="24"/>
        </w:rPr>
        <w:t xml:space="preserve"> </w:t>
      </w:r>
    </w:p>
    <w:p w:rsidR="00C014D4" w:rsidRDefault="00C014D4" w:rsidP="00BA1610">
      <w:pPr>
        <w:pStyle w:val="Nadpis4"/>
        <w:numPr>
          <w:ilvl w:val="0"/>
          <w:numId w:val="0"/>
        </w:numPr>
        <w:spacing w:line="240" w:lineRule="auto"/>
        <w:rPr>
          <w:noProof/>
        </w:rPr>
      </w:pPr>
    </w:p>
    <w:p w:rsidR="00BA1610" w:rsidRDefault="00BA1610" w:rsidP="00BA1610">
      <w:pPr>
        <w:pStyle w:val="Nadpis4"/>
        <w:numPr>
          <w:ilvl w:val="0"/>
          <w:numId w:val="0"/>
        </w:numPr>
        <w:spacing w:line="240" w:lineRule="auto"/>
        <w:rPr>
          <w:noProof/>
        </w:rPr>
      </w:pPr>
      <w:r w:rsidRPr="001904DB">
        <w:rPr>
          <w:noProof/>
        </w:rPr>
        <w:t>Konečným prijímateľom</w:t>
      </w:r>
      <w:r>
        <w:rPr>
          <w:noProof/>
        </w:rPr>
        <w:t xml:space="preserve"> – predkladateľom projektu</w:t>
      </w:r>
      <w:r w:rsidRPr="001904DB">
        <w:rPr>
          <w:noProof/>
        </w:rPr>
        <w:t xml:space="preserve"> pomoci nemôže byť podnik, voči ktorému sa nárokuje vrátenie pomoci na základe predchádzajúceho rozhodnutia Komisie, v ktorom bola táto pomoc označená za neoprávnenú a nezlučiteľnú so spoločným trhom.</w:t>
      </w:r>
    </w:p>
    <w:p w:rsidR="00716DB5" w:rsidRDefault="00716DB5" w:rsidP="00340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podľa tejto schémy nemôže byť poskytnutá </w:t>
      </w:r>
      <w:r w:rsidR="008718E8">
        <w:rPr>
          <w:sz w:val="24"/>
          <w:szCs w:val="24"/>
        </w:rPr>
        <w:t xml:space="preserve">konečnému prijímateľovi – </w:t>
      </w:r>
      <w:r>
        <w:rPr>
          <w:sz w:val="24"/>
          <w:szCs w:val="24"/>
        </w:rPr>
        <w:t>p</w:t>
      </w:r>
      <w:r w:rsidRPr="00716DB5">
        <w:rPr>
          <w:sz w:val="24"/>
          <w:szCs w:val="24"/>
        </w:rPr>
        <w:t>redkladateľo</w:t>
      </w:r>
      <w:r>
        <w:rPr>
          <w:sz w:val="24"/>
          <w:szCs w:val="24"/>
        </w:rPr>
        <w:t>vi</w:t>
      </w:r>
      <w:r w:rsidRPr="00716DB5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, ktorý je </w:t>
      </w:r>
      <w:r w:rsidR="00340998">
        <w:rPr>
          <w:sz w:val="24"/>
          <w:szCs w:val="24"/>
        </w:rPr>
        <w:t xml:space="preserve">podnik </w:t>
      </w:r>
      <w:r>
        <w:rPr>
          <w:sz w:val="24"/>
          <w:szCs w:val="24"/>
        </w:rPr>
        <w:t>v</w:t>
      </w:r>
      <w:r w:rsidR="00340998">
        <w:rPr>
          <w:sz w:val="24"/>
          <w:szCs w:val="24"/>
        </w:rPr>
        <w:t> </w:t>
      </w:r>
      <w:r>
        <w:rPr>
          <w:sz w:val="24"/>
          <w:szCs w:val="24"/>
        </w:rPr>
        <w:t>ťažkostiach</w:t>
      </w:r>
      <w:r w:rsidR="00340998">
        <w:rPr>
          <w:sz w:val="24"/>
          <w:szCs w:val="24"/>
        </w:rPr>
        <w:t xml:space="preserve"> v zmysle čl</w:t>
      </w:r>
      <w:r w:rsidR="00ED0943">
        <w:rPr>
          <w:sz w:val="24"/>
          <w:szCs w:val="24"/>
        </w:rPr>
        <w:t>ánku</w:t>
      </w:r>
      <w:r w:rsidR="00340998" w:rsidRPr="00502E2F">
        <w:rPr>
          <w:sz w:val="24"/>
          <w:szCs w:val="24"/>
        </w:rPr>
        <w:t xml:space="preserve"> 1</w:t>
      </w:r>
      <w:r w:rsidR="004511BB">
        <w:rPr>
          <w:sz w:val="24"/>
          <w:szCs w:val="24"/>
        </w:rPr>
        <w:t xml:space="preserve"> ods. </w:t>
      </w:r>
      <w:r w:rsidR="00ED0943">
        <w:rPr>
          <w:sz w:val="24"/>
          <w:szCs w:val="24"/>
        </w:rPr>
        <w:t xml:space="preserve">7 </w:t>
      </w:r>
      <w:r w:rsidR="00340998" w:rsidRPr="00502E2F">
        <w:rPr>
          <w:sz w:val="24"/>
          <w:szCs w:val="24"/>
        </w:rPr>
        <w:t xml:space="preserve">nariadenia Komisie (ES) č. </w:t>
      </w:r>
      <w:r w:rsidR="00ED0943">
        <w:rPr>
          <w:sz w:val="24"/>
          <w:szCs w:val="24"/>
        </w:rPr>
        <w:t>800</w:t>
      </w:r>
      <w:r w:rsidR="00340998" w:rsidRPr="00502E2F">
        <w:rPr>
          <w:sz w:val="24"/>
          <w:szCs w:val="24"/>
        </w:rPr>
        <w:t>/</w:t>
      </w:r>
      <w:r w:rsidR="00ED0943" w:rsidRPr="00502E2F">
        <w:rPr>
          <w:sz w:val="24"/>
          <w:szCs w:val="24"/>
        </w:rPr>
        <w:t>200</w:t>
      </w:r>
      <w:r w:rsidR="00ED0943">
        <w:rPr>
          <w:sz w:val="24"/>
          <w:szCs w:val="24"/>
        </w:rPr>
        <w:t>8.</w:t>
      </w:r>
      <w:r w:rsidR="00340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6DB5">
        <w:rPr>
          <w:sz w:val="24"/>
          <w:szCs w:val="24"/>
        </w:rPr>
        <w:t xml:space="preserve"> </w:t>
      </w:r>
    </w:p>
    <w:p w:rsidR="00340998" w:rsidRPr="00716DB5" w:rsidRDefault="00340998" w:rsidP="00716DB5">
      <w:pPr>
        <w:rPr>
          <w:sz w:val="24"/>
          <w:szCs w:val="24"/>
        </w:rPr>
      </w:pPr>
    </w:p>
    <w:p w:rsidR="00BA1610" w:rsidRPr="001904DB" w:rsidRDefault="00BA1610" w:rsidP="00BA1610">
      <w:pPr>
        <w:pStyle w:val="Zkladntext2"/>
        <w:tabs>
          <w:tab w:val="clear" w:pos="360"/>
        </w:tabs>
        <w:rPr>
          <w:noProof/>
        </w:rPr>
      </w:pPr>
      <w:r w:rsidRPr="001904DB">
        <w:rPr>
          <w:noProof/>
        </w:rPr>
        <w:t>Schéma sa neuplatňuje na:</w:t>
      </w:r>
    </w:p>
    <w:p w:rsidR="00BA1610" w:rsidRPr="001904DB" w:rsidRDefault="00BA1610" w:rsidP="00BA1610">
      <w:pPr>
        <w:numPr>
          <w:ilvl w:val="0"/>
          <w:numId w:val="4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pomoc na činnosti súvisiace s vývozom, konkrétne na pomoc priamo súvisiacu s vyvážanými množstvami, na zariadenie a prevádzku distribučnej siete alebo na iné bežné výdavky spojené s vývoznou činnosťou,</w:t>
      </w:r>
    </w:p>
    <w:p w:rsidR="00BA1610" w:rsidRPr="001904DB" w:rsidRDefault="00BA1610" w:rsidP="00BA1610">
      <w:pPr>
        <w:numPr>
          <w:ilvl w:val="0"/>
          <w:numId w:val="4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pomoc, ktorá je podmienená uprednostňovaním používania domáceho tovaru pred dovážaným.</w:t>
      </w:r>
    </w:p>
    <w:p w:rsidR="00BA1610" w:rsidRPr="001904DB" w:rsidRDefault="00BA1610" w:rsidP="00BA1610">
      <w:pPr>
        <w:jc w:val="both"/>
        <w:rPr>
          <w:noProof/>
          <w:sz w:val="24"/>
          <w:szCs w:val="24"/>
        </w:rPr>
      </w:pPr>
    </w:p>
    <w:p w:rsidR="00BA1610" w:rsidRPr="001904DB" w:rsidRDefault="00BA1610" w:rsidP="00BA1610">
      <w:p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Schéma sa vzťahuje na pomoc vo všetkých odvetviach hospodárstva s výnimkou týchto: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pomoc na podporu činností v odvetví rybného hospodárstva a akvakultúry, na ktoré sa vzťahuje nariadenie Rady (ES) č. 104/2000 (Ú.v.ES L 17, 21.01.2000, s.22),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pomoc na podporu činností v prvovýrobe poľnohospodárskych výrobkov,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pomoc na podporu činností v oblasti spracovania a marketingu poľnohospodárskych výrobkov a to v týchto prípadoch:</w:t>
      </w:r>
    </w:p>
    <w:p w:rsidR="00BA1610" w:rsidRPr="001904DB" w:rsidRDefault="00BA1610" w:rsidP="00197789">
      <w:pPr>
        <w:numPr>
          <w:ilvl w:val="1"/>
          <w:numId w:val="33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 ak je výška stanovená na základe ceny alebo množstva takýchto výrobkov nakupovaných od prvovýrobcov alebo uvedených na trh príslušnými podnikmi alebo</w:t>
      </w:r>
    </w:p>
    <w:p w:rsidR="00BA1610" w:rsidRPr="001904DB" w:rsidRDefault="00BA1610" w:rsidP="00197789">
      <w:pPr>
        <w:numPr>
          <w:ilvl w:val="1"/>
          <w:numId w:val="33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 ak je pomoc podmienená tým, že má byť čiastočne alebo úplne postúpená prvovýrobcom.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pomoc na podporu činnosti v odvetví ťažby uhlia,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regionálnej pomoci na podporu činností v oceliarskom priemysle,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regionálnej pomoci na podporu činností v lodiarskom priemysle,</w:t>
      </w:r>
    </w:p>
    <w:p w:rsidR="00BA1610" w:rsidRPr="001904DB" w:rsidRDefault="00BA1610" w:rsidP="00BA1610">
      <w:pPr>
        <w:numPr>
          <w:ilvl w:val="0"/>
          <w:numId w:val="17"/>
        </w:numPr>
        <w:jc w:val="both"/>
        <w:rPr>
          <w:noProof/>
          <w:sz w:val="24"/>
          <w:szCs w:val="24"/>
        </w:rPr>
      </w:pPr>
      <w:r w:rsidRPr="001904DB">
        <w:rPr>
          <w:noProof/>
          <w:sz w:val="24"/>
          <w:szCs w:val="24"/>
        </w:rPr>
        <w:t>regionálnej pomoci na podporu činností v odvetví syntetických vlákien.</w:t>
      </w:r>
    </w:p>
    <w:p w:rsidR="00850462" w:rsidRPr="00850462" w:rsidRDefault="00850462" w:rsidP="00BA1610">
      <w:pPr>
        <w:ind w:left="720"/>
        <w:jc w:val="both"/>
        <w:rPr>
          <w:noProof/>
          <w:sz w:val="24"/>
          <w:szCs w:val="24"/>
          <w:highlight w:val="yellow"/>
        </w:rPr>
      </w:pPr>
    </w:p>
    <w:p w:rsidR="0096703F" w:rsidRDefault="0096703F" w:rsidP="00B407B3">
      <w:pPr>
        <w:numPr>
          <w:ilvl w:val="0"/>
          <w:numId w:val="34"/>
        </w:numPr>
        <w:tabs>
          <w:tab w:val="left" w:pos="360"/>
        </w:tabs>
        <w:spacing w:line="26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Oprávnené projekty</w:t>
      </w:r>
    </w:p>
    <w:p w:rsidR="0096703F" w:rsidRPr="0096703F" w:rsidRDefault="0096703F" w:rsidP="006360C8">
      <w:pPr>
        <w:tabs>
          <w:tab w:val="left" w:pos="360"/>
        </w:tabs>
        <w:spacing w:line="264" w:lineRule="auto"/>
        <w:jc w:val="both"/>
        <w:rPr>
          <w:b/>
          <w:bCs/>
          <w:sz w:val="24"/>
          <w:szCs w:val="24"/>
        </w:rPr>
      </w:pPr>
      <w:r w:rsidRPr="0096703F">
        <w:rPr>
          <w:sz w:val="24"/>
          <w:szCs w:val="24"/>
        </w:rPr>
        <w:t>Oprávnené projekty sú zamerané na investície do hmotného majetku</w:t>
      </w:r>
      <w:r w:rsidR="0029370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nehmotného majetku konečného prijímateľa </w:t>
      </w:r>
      <w:r w:rsidR="005B7AAF">
        <w:rPr>
          <w:sz w:val="24"/>
          <w:szCs w:val="24"/>
        </w:rPr>
        <w:t xml:space="preserve"> predkladateľa projektu</w:t>
      </w:r>
      <w:r w:rsidR="002F71B1">
        <w:rPr>
          <w:sz w:val="24"/>
          <w:szCs w:val="24"/>
        </w:rPr>
        <w:t>;</w:t>
      </w:r>
      <w:r>
        <w:rPr>
          <w:sz w:val="24"/>
          <w:szCs w:val="24"/>
        </w:rPr>
        <w:t xml:space="preserve"> definovaného v</w:t>
      </w:r>
      <w:r w:rsidR="00C52642">
        <w:rPr>
          <w:sz w:val="24"/>
          <w:szCs w:val="24"/>
        </w:rPr>
        <w:t> </w:t>
      </w:r>
      <w:r w:rsidR="00B93F44">
        <w:rPr>
          <w:sz w:val="24"/>
          <w:szCs w:val="24"/>
        </w:rPr>
        <w:t>písmene</w:t>
      </w:r>
      <w:r>
        <w:rPr>
          <w:sz w:val="24"/>
          <w:szCs w:val="24"/>
        </w:rPr>
        <w:t xml:space="preserve"> E.</w:t>
      </w:r>
    </w:p>
    <w:p w:rsidR="0096703F" w:rsidRDefault="0096703F" w:rsidP="006360C8">
      <w:pPr>
        <w:tabs>
          <w:tab w:val="left" w:pos="360"/>
        </w:tabs>
        <w:spacing w:line="264" w:lineRule="auto"/>
        <w:jc w:val="both"/>
        <w:rPr>
          <w:b/>
          <w:bCs/>
          <w:sz w:val="24"/>
          <w:szCs w:val="24"/>
        </w:rPr>
      </w:pPr>
    </w:p>
    <w:p w:rsidR="006360C8" w:rsidRPr="002C6F21" w:rsidRDefault="006360C8" w:rsidP="00B407B3">
      <w:pPr>
        <w:numPr>
          <w:ilvl w:val="0"/>
          <w:numId w:val="34"/>
        </w:numPr>
        <w:tabs>
          <w:tab w:val="left" w:pos="360"/>
        </w:tabs>
        <w:spacing w:line="264" w:lineRule="auto"/>
        <w:jc w:val="both"/>
        <w:rPr>
          <w:b/>
          <w:bCs/>
          <w:sz w:val="24"/>
          <w:szCs w:val="24"/>
        </w:rPr>
      </w:pPr>
      <w:r w:rsidRPr="00327342">
        <w:rPr>
          <w:b/>
          <w:bCs/>
          <w:sz w:val="24"/>
          <w:szCs w:val="24"/>
        </w:rPr>
        <w:t>Oprávnené výdavky</w:t>
      </w:r>
      <w:r w:rsidRPr="002C6F21">
        <w:rPr>
          <w:b/>
          <w:bCs/>
          <w:sz w:val="24"/>
          <w:szCs w:val="24"/>
        </w:rPr>
        <w:t xml:space="preserve"> </w:t>
      </w:r>
    </w:p>
    <w:p w:rsidR="001F069A" w:rsidRPr="001F069A" w:rsidRDefault="001F069A" w:rsidP="001F069A">
      <w:pPr>
        <w:rPr>
          <w:sz w:val="24"/>
          <w:szCs w:val="24"/>
        </w:rPr>
      </w:pPr>
      <w:r w:rsidRPr="001F069A">
        <w:rPr>
          <w:b/>
          <w:bCs/>
          <w:sz w:val="24"/>
          <w:szCs w:val="24"/>
        </w:rPr>
        <w:t xml:space="preserve">Oprávnené výdavky </w:t>
      </w:r>
      <w:r w:rsidRPr="001F069A">
        <w:rPr>
          <w:sz w:val="24"/>
          <w:szCs w:val="24"/>
        </w:rPr>
        <w:t>(s výnimkou obmedzení citovaných v rámci neoprávnených výdavkov)</w:t>
      </w:r>
    </w:p>
    <w:p w:rsidR="001F069A" w:rsidRPr="001F069A" w:rsidRDefault="001F069A" w:rsidP="00416029">
      <w:pPr>
        <w:numPr>
          <w:ilvl w:val="3"/>
          <w:numId w:val="13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</w:rPr>
      </w:pPr>
      <w:r w:rsidRPr="001F069A">
        <w:rPr>
          <w:sz w:val="24"/>
          <w:szCs w:val="24"/>
        </w:rPr>
        <w:t>investície do dlhodobého hmotného majetku;</w:t>
      </w:r>
    </w:p>
    <w:p w:rsidR="001F069A" w:rsidRPr="001F069A" w:rsidRDefault="001F069A" w:rsidP="0041602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1F069A">
        <w:rPr>
          <w:sz w:val="24"/>
          <w:szCs w:val="24"/>
        </w:rPr>
        <w:t>investície do dlhodobého nehmotného majetku;</w:t>
      </w:r>
    </w:p>
    <w:p w:rsidR="001F069A" w:rsidRPr="001F069A" w:rsidRDefault="001F069A" w:rsidP="0041602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1F069A">
        <w:rPr>
          <w:sz w:val="24"/>
          <w:szCs w:val="24"/>
        </w:rPr>
        <w:t>vlastná práca (iba mzdy vrátane odvodov).</w:t>
      </w:r>
    </w:p>
    <w:p w:rsidR="006360C8" w:rsidRPr="00BA1610" w:rsidRDefault="006360C8" w:rsidP="006360C8">
      <w:pPr>
        <w:jc w:val="both"/>
        <w:rPr>
          <w:sz w:val="24"/>
          <w:szCs w:val="24"/>
          <w:lang w:eastAsia="sk-SK"/>
        </w:rPr>
      </w:pPr>
      <w:r w:rsidRPr="00BA1610">
        <w:rPr>
          <w:sz w:val="24"/>
          <w:szCs w:val="24"/>
        </w:rPr>
        <w:t>Za oprávnené výdavky sa považujú</w:t>
      </w:r>
      <w:r w:rsidR="008F5D90">
        <w:rPr>
          <w:sz w:val="24"/>
          <w:szCs w:val="24"/>
        </w:rPr>
        <w:t xml:space="preserve"> výdavky na</w:t>
      </w:r>
      <w:r w:rsidRPr="00BA1610">
        <w:rPr>
          <w:sz w:val="24"/>
          <w:szCs w:val="24"/>
        </w:rPr>
        <w:t xml:space="preserve"> všetky činnosti, ktoré sú v súlade s cieľmi opatrenia a tiež sú v súlade s </w:t>
      </w:r>
      <w:r w:rsidRPr="00BA1610">
        <w:rPr>
          <w:sz w:val="24"/>
          <w:szCs w:val="24"/>
          <w:lang w:eastAsia="sk-SK"/>
        </w:rPr>
        <w:t xml:space="preserve">nariadením Rady (ES) č. 1698/2005 </w:t>
      </w:r>
      <w:r w:rsidRPr="00BA1610">
        <w:rPr>
          <w:sz w:val="24"/>
          <w:szCs w:val="24"/>
        </w:rPr>
        <w:t>a </w:t>
      </w:r>
      <w:r w:rsidRPr="00BA1610">
        <w:rPr>
          <w:sz w:val="24"/>
          <w:szCs w:val="24"/>
          <w:lang w:eastAsia="sk-SK"/>
        </w:rPr>
        <w:t xml:space="preserve">nariadením Komisie (ES) č. 1974/2006, </w:t>
      </w:r>
      <w:r w:rsidRPr="00BA1610">
        <w:rPr>
          <w:sz w:val="24"/>
          <w:szCs w:val="24"/>
        </w:rPr>
        <w:t>napr.:</w:t>
      </w:r>
    </w:p>
    <w:p w:rsidR="006360C8" w:rsidRPr="00BA1610" w:rsidRDefault="006360C8" w:rsidP="006360C8">
      <w:pPr>
        <w:numPr>
          <w:ilvl w:val="0"/>
          <w:numId w:val="4"/>
        </w:numPr>
        <w:jc w:val="both"/>
        <w:rPr>
          <w:sz w:val="24"/>
          <w:szCs w:val="24"/>
        </w:rPr>
      </w:pPr>
      <w:r w:rsidRPr="00BA1610">
        <w:rPr>
          <w:sz w:val="24"/>
          <w:szCs w:val="24"/>
        </w:rPr>
        <w:t>výstavba, rekonštrukcia a modernizácia rekreačných a ubytovacích zariadení s kapacitou 11 – 40 lôžok – stavebné investície, investície do vnútorného vybavenia, zariadenia a technológií vrátane zriadenia pripojenia na internet;</w:t>
      </w:r>
    </w:p>
    <w:p w:rsidR="006360C8" w:rsidRPr="00BA1610" w:rsidRDefault="006360C8" w:rsidP="006360C8">
      <w:pPr>
        <w:numPr>
          <w:ilvl w:val="0"/>
          <w:numId w:val="4"/>
        </w:numPr>
        <w:jc w:val="both"/>
        <w:rPr>
          <w:sz w:val="24"/>
          <w:szCs w:val="24"/>
        </w:rPr>
      </w:pPr>
      <w:r w:rsidRPr="00BA1610">
        <w:rPr>
          <w:sz w:val="24"/>
          <w:szCs w:val="24"/>
        </w:rPr>
        <w:t>rekonštrukcia existujúcich poľnohospodárskych objektov (ktoré stratili svoj pôvodný účel) na agroturistické objekty s kapacitou 11 – 40 lôžok – stavebné investície, investície do vnútorného vybavenia, zariadenia a technológií vrátane zriadenia pripojenia na internet;</w:t>
      </w:r>
    </w:p>
    <w:p w:rsidR="006360C8" w:rsidRPr="00BA1610" w:rsidRDefault="006360C8" w:rsidP="006360C8">
      <w:pPr>
        <w:numPr>
          <w:ilvl w:val="0"/>
          <w:numId w:val="4"/>
        </w:numPr>
        <w:jc w:val="both"/>
        <w:rPr>
          <w:sz w:val="24"/>
          <w:szCs w:val="24"/>
        </w:rPr>
      </w:pPr>
      <w:r w:rsidRPr="00BA1610">
        <w:rPr>
          <w:sz w:val="24"/>
          <w:szCs w:val="24"/>
        </w:rPr>
        <w:t>výstavba, rekonštrukcia a modernizácia výrobných a predajných objektov (pri rekonštrukcii a modernizácii vrátane technológií) a nákup strojov, technológií a zariadení pre:</w:t>
      </w:r>
    </w:p>
    <w:p w:rsidR="006360C8" w:rsidRPr="00BA1610" w:rsidRDefault="006360C8" w:rsidP="00495FC7">
      <w:pPr>
        <w:numPr>
          <w:ilvl w:val="0"/>
          <w:numId w:val="7"/>
        </w:numPr>
        <w:tabs>
          <w:tab w:val="clear" w:pos="420"/>
        </w:tabs>
        <w:ind w:left="1080"/>
        <w:jc w:val="both"/>
        <w:rPr>
          <w:sz w:val="24"/>
          <w:szCs w:val="24"/>
        </w:rPr>
      </w:pPr>
      <w:r w:rsidRPr="00BA1610">
        <w:rPr>
          <w:sz w:val="24"/>
          <w:szCs w:val="24"/>
        </w:rPr>
        <w:t xml:space="preserve">doplnkovú výrobu nepoľnohospodárskeho charakteru vrátane využívania obnoviteľných zdrojov energie vrátane zriadenia geotermálneho vrtu a jeho využívania vrátane rozvodov s výnimkou veternej, vodnej a solárnej energie za podmienky, že prevažnú časť vyrobenej energie konečný prijímateľ nespotrebuje vo vlastnom podniku – stavebné investície, investície do vnútorného vybavenia, zariadenia a technológií vrátane zriadenia pripojenia na internet, </w:t>
      </w:r>
    </w:p>
    <w:p w:rsidR="006360C8" w:rsidRPr="00BA1610" w:rsidRDefault="006360C8" w:rsidP="00495FC7">
      <w:pPr>
        <w:numPr>
          <w:ilvl w:val="0"/>
          <w:numId w:val="7"/>
        </w:numPr>
        <w:tabs>
          <w:tab w:val="clear" w:pos="420"/>
        </w:tabs>
        <w:ind w:left="1080"/>
        <w:jc w:val="both"/>
        <w:rPr>
          <w:sz w:val="24"/>
          <w:szCs w:val="24"/>
        </w:rPr>
      </w:pPr>
      <w:r w:rsidRPr="00BA1610">
        <w:rPr>
          <w:sz w:val="24"/>
          <w:szCs w:val="24"/>
        </w:rPr>
        <w:t xml:space="preserve">výrobu a spracovanie tradičných materiálov a výrobkov (napr. tkanie ľanového plátna a následná výroba národných (ľudových) krojov, atď.) – stavebné investície, investície do vnútorného vybavenia, zariadenia a technológií vrátane zriadenia pripojenia na internet. </w:t>
      </w:r>
    </w:p>
    <w:p w:rsidR="006360C8" w:rsidRPr="00BA1610" w:rsidRDefault="006360C8" w:rsidP="006360C8">
      <w:pPr>
        <w:numPr>
          <w:ilvl w:val="0"/>
          <w:numId w:val="4"/>
        </w:numPr>
        <w:jc w:val="both"/>
        <w:rPr>
          <w:sz w:val="24"/>
          <w:szCs w:val="24"/>
        </w:rPr>
      </w:pPr>
      <w:r w:rsidRPr="00BA1610">
        <w:rPr>
          <w:sz w:val="24"/>
          <w:szCs w:val="24"/>
        </w:rPr>
        <w:t>výstavba, rekonštrukcia a modernizácia agroturistických zariadení vrátane hygienických, ekologických a rekondičných objektov slúžiacich na rozvoj turistických                            činností (napr. kryté bazény, fitness centrá, masážne a solárne zariadenia, sociálne zariadenia, čističky odpadových vôd a pod.) – stavebné investície, investície do vnútorného vybavenia, zariadenia a technológií vrátane zriadenia pripojenia na internet;</w:t>
      </w:r>
    </w:p>
    <w:p w:rsidR="006360C8" w:rsidRPr="00BA1610" w:rsidRDefault="006360C8" w:rsidP="006360C8">
      <w:pPr>
        <w:numPr>
          <w:ilvl w:val="0"/>
          <w:numId w:val="4"/>
        </w:numPr>
        <w:jc w:val="both"/>
        <w:rPr>
          <w:sz w:val="24"/>
          <w:szCs w:val="24"/>
        </w:rPr>
      </w:pPr>
      <w:r w:rsidRPr="00BA1610">
        <w:rPr>
          <w:sz w:val="24"/>
          <w:szCs w:val="24"/>
        </w:rPr>
        <w:t>výstavba, rekonštrukcia a modernizácia areálov vytvárajúcich podmienky na rozvoj rekreačných a relaxačných činností (turistické chodníky, jazdectvo, rybárstvo, poľovníctvo, pltníctvo, cykloturistika, vodné športy, zimné športy, sauna, bazén, detské ihrisko a pod.) – stavebné investície, investície do vybavenia, strojov a technológií vrátane zriadenia pripojenia na internet.</w:t>
      </w:r>
    </w:p>
    <w:p w:rsidR="006360C8" w:rsidRPr="00B2646A" w:rsidRDefault="006360C8" w:rsidP="006360C8">
      <w:pPr>
        <w:jc w:val="both"/>
        <w:rPr>
          <w:highlight w:val="yellow"/>
        </w:rPr>
      </w:pPr>
    </w:p>
    <w:p w:rsidR="006360C8" w:rsidRPr="00BA1610" w:rsidRDefault="006360C8" w:rsidP="006360C8">
      <w:pPr>
        <w:jc w:val="both"/>
        <w:rPr>
          <w:sz w:val="24"/>
          <w:szCs w:val="24"/>
        </w:rPr>
      </w:pPr>
      <w:r w:rsidRPr="00BA1610">
        <w:rPr>
          <w:sz w:val="24"/>
          <w:szCs w:val="24"/>
        </w:rPr>
        <w:t xml:space="preserve">Výstavba, rekonštrukcia a modernizácia predajných miest znamená založenie a prevádzkovanie malých predajných miest umiestených priamo na farmách alebo miestach dostupných pre návštevníkov regiónu, kde </w:t>
      </w:r>
      <w:r w:rsidR="000F5E43" w:rsidRPr="00BA1610">
        <w:rPr>
          <w:sz w:val="24"/>
          <w:szCs w:val="24"/>
        </w:rPr>
        <w:t xml:space="preserve">konečný </w:t>
      </w:r>
      <w:r w:rsidRPr="00BA1610">
        <w:rPr>
          <w:sz w:val="24"/>
          <w:szCs w:val="24"/>
        </w:rPr>
        <w:t>prijímateľ</w:t>
      </w:r>
      <w:r w:rsidR="00117329" w:rsidRPr="00BA1610">
        <w:rPr>
          <w:sz w:val="24"/>
          <w:szCs w:val="24"/>
        </w:rPr>
        <w:t xml:space="preserve"> – predkladateľ projektu</w:t>
      </w:r>
      <w:r w:rsidRPr="00BA1610">
        <w:rPr>
          <w:sz w:val="24"/>
          <w:szCs w:val="24"/>
        </w:rPr>
        <w:t xml:space="preserve"> bude môcť predávať svoje výrobky vyrobené v rámci tohto opatrenia, ktoré musia byť nepoľnohospodárskej povahy (napr. ľudovoumelecké výrobky: vyrezávané drevené črpáky, národné ľudové kroje,  keramika).</w:t>
      </w:r>
    </w:p>
    <w:p w:rsidR="006360C8" w:rsidRPr="002C6F21" w:rsidRDefault="006360C8" w:rsidP="006360C8">
      <w:pPr>
        <w:jc w:val="both"/>
        <w:rPr>
          <w:sz w:val="24"/>
          <w:szCs w:val="24"/>
        </w:rPr>
      </w:pPr>
      <w:r w:rsidRPr="00BA1610">
        <w:rPr>
          <w:sz w:val="24"/>
          <w:szCs w:val="24"/>
        </w:rPr>
        <w:t>Súčasťou stavebných investícií môžu byť aj prístupové cesty, pripojenie na inžinierske siete a úpravy v rámci areálu.</w:t>
      </w:r>
    </w:p>
    <w:p w:rsidR="006360C8" w:rsidRDefault="006360C8" w:rsidP="006360C8">
      <w:pPr>
        <w:jc w:val="both"/>
        <w:rPr>
          <w:sz w:val="24"/>
          <w:szCs w:val="24"/>
        </w:rPr>
      </w:pPr>
    </w:p>
    <w:p w:rsidR="00890CE4" w:rsidRDefault="006360C8" w:rsidP="00B407B3">
      <w:pPr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2C6F21">
        <w:rPr>
          <w:b/>
          <w:bCs/>
          <w:sz w:val="24"/>
          <w:szCs w:val="24"/>
        </w:rPr>
        <w:t>Neoprávnené výdavky</w:t>
      </w:r>
      <w:r w:rsidR="00890CE4">
        <w:rPr>
          <w:b/>
          <w:bCs/>
          <w:sz w:val="24"/>
          <w:szCs w:val="24"/>
        </w:rPr>
        <w:t>:</w:t>
      </w:r>
    </w:p>
    <w:p w:rsidR="00BA1610" w:rsidRPr="00436DCA" w:rsidRDefault="00BA1610" w:rsidP="00BA1610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výdavky vynaložené pred podaním ŽoNFP (projektu) na príslušnú MAS (článok 8 nariadenia Komisie ES č. 800/2008). V prípade obstarania strojov, zariadení a technológií vynaložené výdavky a vyhotovené dodacie listy a preberacie protokoly pred podaním ŽoNFP (projektu) na príslušnú MAS, okrem finančného prenájmu, kúpy prenajatej veci a kúpy formou splátok za podmienok uvedených v bode 2 (k uzatvoreniu zmlúv mohlo dôjsť aj pred podaním ŽoNFP (projektu) na príslušnú MAS), pričom ako oprávnené výdavky sa uznajú iba tie, ktoré konečnému prijímateľovi – predkladateľovi projektu  vznikli odo dňa podania ŽoNFP (projektu) na príslušnú MAS. Stavebné investície so začiatkom realizácie pred podaním ŽoNFP (projektu) na príslušnú MAS (evidencia začatia stavebných prác v stavebnom denníku pred podaním ŽoNFP (projektu));</w:t>
      </w:r>
    </w:p>
    <w:p w:rsidR="00BA1610" w:rsidRPr="009735B2" w:rsidRDefault="00BA1610" w:rsidP="00BA1610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nákup použitého majetku. Za neoprávnený výdavok sa nepovažuje finančný prenájom v zmysle zákona č. 595/2003 Z. z. o dani z príjmov v znení neskorších predpisov, ani kúpa prenajatej </w:t>
      </w:r>
      <w:r w:rsidRPr="008D13F0">
        <w:rPr>
          <w:sz w:val="24"/>
          <w:szCs w:val="24"/>
        </w:rPr>
        <w:t>veci (pričom nájom vznikol max. 1. januára 2006), resp. kúpa formou splátok v zmysle Obchodného zákonníka v prípade, ak sa jedná o následné odkúpenie konečným prijímateľom – predkladateľom projektu  už používaných nových strojov a zariadení za predpokladu, že k finančnému prenájmu, resp. kúpe konečným prijímateľom – predkladateľom projektu už používaných nových strojov a zariadení došlo max. 1. januára 2006. V zmluve o finančnom prenájme a o splátkovom predaji musia byť odčlenené oprávnené výdavky (splátka istiny, doprava, montáž, technické zhodnotenie a pod.) a neoprávnené výdavky (napr. poplatok za</w:t>
      </w:r>
      <w:r w:rsidRPr="009735B2">
        <w:rPr>
          <w:sz w:val="24"/>
          <w:szCs w:val="24"/>
        </w:rPr>
        <w:t xml:space="preserve"> uzatvorenie zmluvy, zisk prenajímateľa, úhrada úrokov, výdavky na réžiu, poistenie a pod.), ak sú predmetom zmluvy;</w:t>
      </w:r>
    </w:p>
    <w:p w:rsidR="00BA1610" w:rsidRPr="009735B2" w:rsidRDefault="00BA1610" w:rsidP="00BA1610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výdavky na nákup nehnuteľností s výnimkou nákupu pozemkov (pod stavbami) určených na výstavbu, resp. technické zhodnotenie stavieb, ktoré je predmetom projektu, pričom </w:t>
      </w:r>
      <w:r>
        <w:rPr>
          <w:sz w:val="24"/>
          <w:szCs w:val="24"/>
        </w:rPr>
        <w:t>konečný prijímateľ – predkladateľ projektu</w:t>
      </w:r>
      <w:r w:rsidRPr="009735B2">
        <w:rPr>
          <w:sz w:val="24"/>
          <w:szCs w:val="24"/>
        </w:rPr>
        <w:t xml:space="preserve"> si môže uplatniť výdavky na nákup pozemkov v hodnote zistenej znaleckým posudkom, max. však do výšky 10 % oprávnených výdavkov na výstavbu, resp. technické zhodnotenie príslušných stavieb;</w:t>
      </w:r>
    </w:p>
    <w:p w:rsidR="00BA1610" w:rsidRPr="009735B2" w:rsidRDefault="009F3E15" w:rsidP="009F3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BA1610" w:rsidRPr="009735B2">
        <w:rPr>
          <w:sz w:val="24"/>
          <w:szCs w:val="24"/>
        </w:rPr>
        <w:t>nákup dopravných prostriedkov a dopravných zariadení s výnimkou:</w:t>
      </w:r>
    </w:p>
    <w:p w:rsidR="00BA1610" w:rsidRPr="009735B2" w:rsidRDefault="00BA1610" w:rsidP="00BA1610">
      <w:pPr>
        <w:numPr>
          <w:ilvl w:val="0"/>
          <w:numId w:val="19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špecializovaných vozidiel, ktoré sú svojou konštrukciou a vyhotovením určené na prepravu určitých druhov tovarov a/alebo výrobkov a/alebo ostatných produktov pre potreby doplnkovej výroby a/alebo služieb v súlade s cieľmi opatrenia (napr. vozidlá na prevážanie pltí a pod.);</w:t>
      </w:r>
    </w:p>
    <w:p w:rsidR="00BA1610" w:rsidRPr="009735B2" w:rsidRDefault="00BA1610" w:rsidP="00BA1610">
      <w:pPr>
        <w:numPr>
          <w:ilvl w:val="0"/>
          <w:numId w:val="20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pltí, malých plavidiel, vodných a snežných skútrov, štvorkoliek, bicyklov a pod. (len za účelom poskytovania služieb);</w:t>
      </w:r>
    </w:p>
    <w:p w:rsidR="00BA1610" w:rsidRPr="009735B2" w:rsidRDefault="00BA1610" w:rsidP="00BA1610">
      <w:pPr>
        <w:numPr>
          <w:ilvl w:val="0"/>
          <w:numId w:val="21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vlekov a pod. (len za účelom poskytovania služieb).</w:t>
      </w:r>
    </w:p>
    <w:p w:rsidR="00BA1610" w:rsidRPr="009735B2" w:rsidRDefault="009F3E15" w:rsidP="009F3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BA1610" w:rsidRPr="009735B2">
        <w:rPr>
          <w:sz w:val="24"/>
          <w:szCs w:val="24"/>
        </w:rPr>
        <w:t>nákup zvierat;</w:t>
      </w:r>
    </w:p>
    <w:p w:rsidR="00BA1610" w:rsidRPr="009735B2" w:rsidRDefault="009F3E15" w:rsidP="009F3E1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BA1610" w:rsidRPr="009735B2">
        <w:rPr>
          <w:sz w:val="24"/>
          <w:szCs w:val="24"/>
        </w:rPr>
        <w:t>refundovateľné, refundované alebo inak preplatené dane, clá, dovozné prirážky a kurzové straty;</w:t>
      </w:r>
    </w:p>
    <w:p w:rsidR="00BA1610" w:rsidRPr="009735B2" w:rsidRDefault="009F3E15" w:rsidP="009F3E15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A1610" w:rsidRPr="009735B2">
        <w:rPr>
          <w:sz w:val="24"/>
          <w:szCs w:val="24"/>
        </w:rPr>
        <w:t>daň z pridanej hodnoty okrem prípadov uvedených v bode 3a) článku 71 nariadenia Rady (ES) č. 1698/2005, t. j. s výnimkou nenávratnej DPH, ak ju znáša zdaniteľná osoba;</w:t>
      </w:r>
    </w:p>
    <w:p w:rsidR="00BA1610" w:rsidRPr="009735B2" w:rsidRDefault="009F3E15" w:rsidP="009F3E15">
      <w:pPr>
        <w:pStyle w:val="NumPar1"/>
        <w:numPr>
          <w:ilvl w:val="0"/>
          <w:numId w:val="0"/>
        </w:numPr>
        <w:tabs>
          <w:tab w:val="clear" w:pos="851"/>
        </w:tabs>
        <w:spacing w:before="0" w:after="0"/>
        <w:ind w:left="180" w:hanging="180"/>
        <w:rPr>
          <w:lang w:val="sk-SK"/>
        </w:rPr>
      </w:pPr>
      <w:r>
        <w:rPr>
          <w:lang w:val="sk-SK"/>
        </w:rPr>
        <w:t xml:space="preserve">8. </w:t>
      </w:r>
      <w:r w:rsidR="00BA1610" w:rsidRPr="009735B2">
        <w:rPr>
          <w:lang w:val="sk-SK"/>
        </w:rPr>
        <w:t>prevádzkové výdavky (napr. výdavky na opravy a údržbu);</w:t>
      </w:r>
    </w:p>
    <w:p w:rsidR="00BA1610" w:rsidRPr="009735B2" w:rsidRDefault="009F3E15" w:rsidP="009F3E15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A1610" w:rsidRPr="009735B2">
        <w:rPr>
          <w:sz w:val="24"/>
          <w:szCs w:val="24"/>
        </w:rPr>
        <w:t xml:space="preserve">vlastná práca vyjadrená peňažnou hodnotou nad 30 % z ceny materiálu zakúpeného a </w:t>
      </w:r>
      <w:r>
        <w:rPr>
          <w:sz w:val="24"/>
          <w:szCs w:val="24"/>
        </w:rPr>
        <w:t xml:space="preserve">  </w:t>
      </w:r>
      <w:r w:rsidR="00BA1610" w:rsidRPr="009735B2">
        <w:rPr>
          <w:sz w:val="24"/>
          <w:szCs w:val="24"/>
        </w:rPr>
        <w:t xml:space="preserve">použitého na oprávnenú investíciu realizovanú  vlastnou prácou; </w:t>
      </w:r>
    </w:p>
    <w:p w:rsidR="00BA1610" w:rsidRPr="009735B2" w:rsidRDefault="009F3E15" w:rsidP="009F3E15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A1610" w:rsidRPr="009735B2">
        <w:rPr>
          <w:sz w:val="24"/>
          <w:szCs w:val="24"/>
        </w:rPr>
        <w:t>bankové poplatky, úroky z dlhu, clá, výdavky na záruku a podobné poplatky;</w:t>
      </w:r>
    </w:p>
    <w:p w:rsidR="00BA1610" w:rsidRPr="009735B2" w:rsidRDefault="009F3E15" w:rsidP="009F3E1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A1610" w:rsidRPr="009735B2">
        <w:rPr>
          <w:sz w:val="24"/>
          <w:szCs w:val="24"/>
        </w:rPr>
        <w:t>lízingové poplatky a koeficient navýšenia, ostatné výdavky spojené so zmluvou o prenájme, napr. zisk prenajímateľa, úhrada úrokov, výdavky na réžiu, poistenie a pod.;</w:t>
      </w:r>
    </w:p>
    <w:p w:rsidR="00BA1610" w:rsidRPr="009735B2" w:rsidRDefault="009F3E15" w:rsidP="009F3E1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A1610" w:rsidRPr="009735B2">
        <w:rPr>
          <w:sz w:val="24"/>
          <w:szCs w:val="24"/>
        </w:rPr>
        <w:t>nájomné poplatky okrem splátky istiny a oprávnených výdavkov súvisiacich s obstaraním v prípade finančného prenájmu podľa zákona č. 595/2003 Z. z. o dani z príjmov v znení neskorších predpisov a v prípade kúpy prenajatej veci v zmysle Obchodného zákonníka;</w:t>
      </w:r>
    </w:p>
    <w:p w:rsidR="00BA1610" w:rsidRPr="009735B2" w:rsidRDefault="009F3E15" w:rsidP="009F3E15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A1610" w:rsidRPr="009735B2">
        <w:rPr>
          <w:sz w:val="24"/>
          <w:szCs w:val="24"/>
        </w:rPr>
        <w:t>výdavky vynaložené v hotovosti s výnimkou vlastnej práce;</w:t>
      </w:r>
    </w:p>
    <w:p w:rsidR="00BA1610" w:rsidRPr="009735B2" w:rsidRDefault="009F3E15" w:rsidP="009F3E15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A1610" w:rsidRPr="009735B2">
        <w:rPr>
          <w:sz w:val="24"/>
          <w:szCs w:val="24"/>
        </w:rPr>
        <w:t>poradenské a konzultačné služby;</w:t>
      </w:r>
    </w:p>
    <w:p w:rsidR="00BA1610" w:rsidRPr="009735B2" w:rsidRDefault="009F3E15" w:rsidP="009F3E15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A1610" w:rsidRPr="009735B2">
        <w:rPr>
          <w:sz w:val="24"/>
          <w:szCs w:val="24"/>
        </w:rPr>
        <w:t xml:space="preserve">projektová dokumentácia; </w:t>
      </w:r>
    </w:p>
    <w:p w:rsidR="00BA1610" w:rsidRPr="009735B2" w:rsidRDefault="009F3E15" w:rsidP="009F3E1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A1610" w:rsidRPr="009735B2">
        <w:rPr>
          <w:sz w:val="24"/>
          <w:szCs w:val="24"/>
        </w:rPr>
        <w:t xml:space="preserve">výroba, spracovanie a predaj produktov uvedených v zozname prílohy 1 Zmluvy o založení ES. </w:t>
      </w:r>
    </w:p>
    <w:p w:rsidR="006360C8" w:rsidRPr="002C6F21" w:rsidRDefault="006360C8" w:rsidP="006360C8">
      <w:pPr>
        <w:jc w:val="both"/>
        <w:rPr>
          <w:sz w:val="24"/>
          <w:szCs w:val="24"/>
        </w:rPr>
      </w:pPr>
    </w:p>
    <w:p w:rsidR="006360C8" w:rsidRPr="002C6F21" w:rsidRDefault="004511BB" w:rsidP="00B407B3">
      <w:pPr>
        <w:pStyle w:val="Nadpis4"/>
        <w:numPr>
          <w:ilvl w:val="0"/>
          <w:numId w:val="34"/>
        </w:numPr>
        <w:spacing w:line="240" w:lineRule="auto"/>
        <w:rPr>
          <w:b/>
          <w:bCs/>
        </w:rPr>
      </w:pPr>
      <w:r>
        <w:rPr>
          <w:b/>
          <w:bCs/>
        </w:rPr>
        <w:t xml:space="preserve">Forma pomoci </w:t>
      </w:r>
    </w:p>
    <w:p w:rsidR="006360C8" w:rsidRPr="002C6F21" w:rsidRDefault="006360C8" w:rsidP="008A4EAB">
      <w:pPr>
        <w:pStyle w:val="Nadpis4"/>
        <w:numPr>
          <w:ilvl w:val="0"/>
          <w:numId w:val="0"/>
        </w:numPr>
        <w:spacing w:line="240" w:lineRule="auto"/>
      </w:pPr>
      <w:r w:rsidRPr="002C6F21">
        <w:t>Pomoc podľa tejto schémy sa poskytuje formou nenávratného finančného príspevku z PRV, ktorý bude poskytnutý formou refundácie na základe predloženia účtovných dokladov preukazujúcich skutočnú výšku oprávnených výdavkov.</w:t>
      </w:r>
    </w:p>
    <w:p w:rsidR="006360C8" w:rsidRPr="002C6F21" w:rsidRDefault="006360C8" w:rsidP="006360C8">
      <w:pPr>
        <w:pStyle w:val="Zarkazkladnhotextu"/>
        <w:ind w:left="0"/>
      </w:pPr>
    </w:p>
    <w:p w:rsidR="006360C8" w:rsidRPr="002C6F21" w:rsidRDefault="006360C8" w:rsidP="00B407B3">
      <w:pPr>
        <w:pStyle w:val="Nadpis4"/>
        <w:numPr>
          <w:ilvl w:val="0"/>
          <w:numId w:val="34"/>
        </w:numPr>
        <w:rPr>
          <w:b/>
          <w:bCs/>
        </w:rPr>
      </w:pPr>
      <w:r w:rsidRPr="002C6F21">
        <w:rPr>
          <w:b/>
          <w:bCs/>
        </w:rPr>
        <w:t xml:space="preserve">Výška a intenzita pomoci </w:t>
      </w:r>
    </w:p>
    <w:p w:rsidR="00BA1610" w:rsidRPr="00436DCA" w:rsidRDefault="00BA1610" w:rsidP="00BA1610">
      <w:pPr>
        <w:pStyle w:val="Zarkazkladnhotextu"/>
        <w:keepNext/>
        <w:widowControl w:val="0"/>
        <w:ind w:left="0"/>
      </w:pPr>
      <w:r w:rsidRPr="00436DCA">
        <w:t>Maximálna výška pomoci z celkových oprávnených výdavkov:</w:t>
      </w:r>
    </w:p>
    <w:p w:rsidR="00BA1610" w:rsidRPr="00436DCA" w:rsidRDefault="00BA1610" w:rsidP="00BA1610">
      <w:pPr>
        <w:pStyle w:val="Zkladntext2"/>
        <w:keepNext/>
        <w:widowControl w:val="0"/>
        <w:ind w:left="709"/>
      </w:pPr>
      <w:r w:rsidRPr="00436DCA">
        <w:t xml:space="preserve">– </w:t>
      </w:r>
      <w:r w:rsidR="00D14453">
        <w:t xml:space="preserve">do </w:t>
      </w:r>
      <w:r w:rsidRPr="00436DCA">
        <w:t>50 % (40 % EÚ, 10 % SR) pre oblasti cieľa Konvergencia, pričom minimálne 50 % predstavujú vlastné zdroje;</w:t>
      </w:r>
    </w:p>
    <w:p w:rsidR="00B947AF" w:rsidRPr="00BB5C9A" w:rsidRDefault="00B947AF" w:rsidP="00B947AF">
      <w:pPr>
        <w:pStyle w:val="Zkladntext2"/>
        <w:tabs>
          <w:tab w:val="clear" w:pos="360"/>
        </w:tabs>
      </w:pPr>
      <w:r w:rsidRPr="00BB5C9A">
        <w:t>Oblasťami konvergenčného cieľa sú oblasti: Západné Slovensko (mimo Bratislavského kraja), Stredné Slovensko a Východné Slovensko.</w:t>
      </w:r>
    </w:p>
    <w:p w:rsidR="00E65C63" w:rsidRDefault="00E65C63" w:rsidP="00E65C63">
      <w:pPr>
        <w:pStyle w:val="Zarkazkladnhotextu"/>
        <w:keepNext/>
        <w:widowControl w:val="0"/>
        <w:ind w:left="0"/>
        <w:rPr>
          <w:highlight w:val="cyan"/>
        </w:rPr>
      </w:pPr>
    </w:p>
    <w:p w:rsidR="00BA1610" w:rsidRPr="00BB5C9A" w:rsidRDefault="00BA1610" w:rsidP="00BA1610">
      <w:pPr>
        <w:pStyle w:val="Zkladntext2"/>
        <w:tabs>
          <w:tab w:val="clear" w:pos="360"/>
        </w:tabs>
      </w:pPr>
      <w:r w:rsidRPr="00BB5C9A">
        <w:t xml:space="preserve">Intenzita pomoci je stanovená v súlade so stropom regionálnej investičnej pomoci v nadväznosti na konečné rozhodnutie Európskej komisie K (2006) 3975 o regionálnej mape štátnej pomoci pre Slovenskú republiku platnej na roky 2007 – 2013. </w:t>
      </w:r>
    </w:p>
    <w:p w:rsidR="00BA1610" w:rsidRPr="00B947AF" w:rsidRDefault="00BA1610" w:rsidP="00E65C63">
      <w:pPr>
        <w:pStyle w:val="Zarkazkladnhotextu"/>
        <w:keepNext/>
        <w:widowControl w:val="0"/>
        <w:ind w:left="0"/>
        <w:rPr>
          <w:highlight w:val="cyan"/>
        </w:rPr>
      </w:pPr>
    </w:p>
    <w:p w:rsidR="00BA1610" w:rsidRPr="00BA1610" w:rsidRDefault="00BA1610" w:rsidP="00BA1610">
      <w:pPr>
        <w:jc w:val="both"/>
        <w:rPr>
          <w:sz w:val="24"/>
          <w:szCs w:val="24"/>
        </w:rPr>
      </w:pPr>
      <w:r w:rsidRPr="00BA1610">
        <w:rPr>
          <w:sz w:val="24"/>
          <w:szCs w:val="24"/>
        </w:rPr>
        <w:t xml:space="preserve">Výška oprávnených výdavkov na 1 projekt: min. 3000 EUR a max. 1,5 mil. EUR (v prípade Obnoviteľných zdrojov energie – bioplynové  stanice 3. mil. EUR). </w:t>
      </w:r>
    </w:p>
    <w:p w:rsidR="00E65C63" w:rsidRPr="00E65C63" w:rsidRDefault="00E65C63" w:rsidP="00E65C63">
      <w:pPr>
        <w:keepLines/>
        <w:widowControl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highlight w:val="cyan"/>
        </w:rPr>
      </w:pPr>
    </w:p>
    <w:p w:rsidR="00E65C63" w:rsidRPr="00BA1610" w:rsidRDefault="00E65C63" w:rsidP="00E65C63">
      <w:pPr>
        <w:keepLines/>
        <w:widowControl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A1610">
        <w:rPr>
          <w:sz w:val="24"/>
          <w:szCs w:val="24"/>
        </w:rPr>
        <w:t>Výška oprávnených výdavkov na 1 projekt je uvedená vo Výzve na predkladanie Žiadosti o nenávratný finančný príspevok z Programu rozvoja vidieka SR 2007 - 2013 (projekt) v rámci implementácie Integrovanej stratégie rozvoja územia (ďalej len „Výzva na</w:t>
      </w:r>
      <w:r w:rsidR="00C001B6">
        <w:rPr>
          <w:sz w:val="24"/>
          <w:szCs w:val="24"/>
        </w:rPr>
        <w:br w:type="page"/>
      </w:r>
      <w:r w:rsidRPr="00BA1610">
        <w:rPr>
          <w:sz w:val="24"/>
          <w:szCs w:val="24"/>
        </w:rPr>
        <w:t>implementáciu stratégie“), ktorú zverejní príslušná MAS</w:t>
      </w:r>
      <w:r w:rsidRPr="00BA1610">
        <w:rPr>
          <w:rStyle w:val="Odkaznapoznmkupodiarou"/>
        </w:rPr>
        <w:footnoteReference w:id="3"/>
      </w:r>
      <w:r w:rsidRPr="00BA1610">
        <w:rPr>
          <w:sz w:val="24"/>
          <w:szCs w:val="24"/>
        </w:rPr>
        <w:t xml:space="preserve">.  </w:t>
      </w:r>
    </w:p>
    <w:p w:rsidR="00B947AF" w:rsidRDefault="00B947AF" w:rsidP="00B947AF">
      <w:pPr>
        <w:pStyle w:val="Zkladntextb"/>
      </w:pPr>
    </w:p>
    <w:p w:rsidR="00B947AF" w:rsidRPr="00B947AF" w:rsidRDefault="00B947AF" w:rsidP="00B947AF">
      <w:pPr>
        <w:jc w:val="both"/>
        <w:rPr>
          <w:sz w:val="24"/>
          <w:szCs w:val="24"/>
        </w:rPr>
      </w:pPr>
      <w:r w:rsidRPr="00B947AF">
        <w:rPr>
          <w:sz w:val="24"/>
          <w:szCs w:val="24"/>
        </w:rPr>
        <w:t>Celková výška oprávnených výdavkov z PRV (z osi 1, 3, 4) nesmie na jeden podnik presiahnuť spravidla 12 mil. EUR bez ohľadu na opatrenie, z ktorého dostal podporu.</w:t>
      </w:r>
    </w:p>
    <w:p w:rsidR="00BA1610" w:rsidRDefault="00BA1610" w:rsidP="00B947AF">
      <w:pPr>
        <w:jc w:val="both"/>
        <w:rPr>
          <w:sz w:val="24"/>
          <w:szCs w:val="24"/>
        </w:rPr>
      </w:pPr>
    </w:p>
    <w:p w:rsidR="00E65C63" w:rsidRPr="00B947AF" w:rsidRDefault="00B947AF" w:rsidP="00B947AF">
      <w:pPr>
        <w:jc w:val="both"/>
        <w:rPr>
          <w:sz w:val="24"/>
          <w:szCs w:val="24"/>
        </w:rPr>
      </w:pPr>
      <w:r w:rsidRPr="00B947AF">
        <w:rPr>
          <w:sz w:val="24"/>
          <w:szCs w:val="24"/>
        </w:rPr>
        <w:t>Maximálna investičná pomoc podľa schémy pre MSP nesmie prekročiť 7,5 mil. EUR na jeden podnik a jeden investičný projekt</w:t>
      </w:r>
    </w:p>
    <w:p w:rsidR="00BA1610" w:rsidRDefault="00BA1610" w:rsidP="00B947AF">
      <w:pPr>
        <w:jc w:val="both"/>
        <w:rPr>
          <w:sz w:val="24"/>
          <w:szCs w:val="24"/>
        </w:rPr>
      </w:pPr>
    </w:p>
    <w:p w:rsidR="000171F4" w:rsidRPr="00BB5C9A" w:rsidRDefault="000171F4" w:rsidP="000171F4">
      <w:pPr>
        <w:pStyle w:val="Zkladntextb"/>
      </w:pPr>
      <w:r w:rsidRPr="00BB5C9A">
        <w:t xml:space="preserve">Intenzita pomoci sa vypočíta ako percento poskytnutej pomoci z oprávnených výdavkov. Na účely výpočtu intenzity pomoci sa použijú číselné údaje pred odpočítaním daní alebo iných platieb. V prípade, že oprávnené výdavky a poskytovanie pomoci sa uplatňujú v priebehu viacerých rokov, je potrebné na výpočet intenzity pomoci použiť diskontované sadzby. Základom pre výpočet diskontnej sadzby je základná sadzba, ktorej aktuálna hodnota je uverejnená na </w:t>
      </w:r>
      <w:r w:rsidR="00256E90">
        <w:t>webovom sídle</w:t>
      </w:r>
      <w:r w:rsidRPr="00BB5C9A">
        <w:t xml:space="preserve"> Ministerstva financií SR </w:t>
      </w:r>
      <w:hyperlink r:id="rId9" w:history="1">
        <w:r w:rsidRPr="00BB5C9A">
          <w:rPr>
            <w:rStyle w:val="Hypertextovprepojenie"/>
          </w:rPr>
          <w:t>www.finance.gov.sk/Default.aspx?CatlD=5415</w:t>
        </w:r>
      </w:hyperlink>
      <w:r w:rsidRPr="00BB5C9A">
        <w:t>. Intenzita pomoci sa vypočíta podľa vzorca (diskontná výška pomoci/diskontované oprávnené výdavky) x 100 a vyjadruje sa v percentách.</w:t>
      </w:r>
    </w:p>
    <w:p w:rsidR="000171F4" w:rsidRPr="00BB5C9A" w:rsidRDefault="000171F4" w:rsidP="00850462">
      <w:pPr>
        <w:jc w:val="both"/>
        <w:rPr>
          <w:sz w:val="24"/>
          <w:szCs w:val="24"/>
        </w:rPr>
      </w:pPr>
    </w:p>
    <w:p w:rsidR="006360C8" w:rsidRPr="009B351F" w:rsidRDefault="006360C8" w:rsidP="00B407B3">
      <w:pPr>
        <w:pStyle w:val="Nadpis6"/>
        <w:numPr>
          <w:ilvl w:val="0"/>
          <w:numId w:val="34"/>
        </w:numPr>
        <w:spacing w:line="264" w:lineRule="auto"/>
        <w:jc w:val="both"/>
      </w:pPr>
      <w:r w:rsidRPr="009B351F">
        <w:t xml:space="preserve">Podmienky poskytnutia nenávratného finančného príspevku </w:t>
      </w:r>
      <w:r w:rsidR="00DE57AC">
        <w:t xml:space="preserve">konečnému prijímateľovi – predkladateľovi projektu </w:t>
      </w:r>
      <w:r w:rsidRPr="009B351F">
        <w:t xml:space="preserve"> </w:t>
      </w:r>
    </w:p>
    <w:p w:rsidR="000171F4" w:rsidRPr="00F156EE" w:rsidRDefault="000171F4" w:rsidP="000171F4">
      <w:pPr>
        <w:jc w:val="both"/>
        <w:rPr>
          <w:sz w:val="24"/>
          <w:szCs w:val="24"/>
          <w:u w:val="single"/>
          <w:lang w:eastAsia="en-US"/>
        </w:rPr>
      </w:pPr>
      <w:r w:rsidRPr="00F156EE">
        <w:rPr>
          <w:sz w:val="24"/>
          <w:szCs w:val="24"/>
          <w:lang w:eastAsia="en-US"/>
        </w:rPr>
        <w:t>Oprávnenosť projektov na financovanie z</w:t>
      </w:r>
      <w:r>
        <w:rPr>
          <w:sz w:val="24"/>
          <w:szCs w:val="24"/>
          <w:lang w:eastAsia="en-US"/>
        </w:rPr>
        <w:t> </w:t>
      </w:r>
      <w:r w:rsidRPr="00F156EE">
        <w:rPr>
          <w:sz w:val="24"/>
          <w:szCs w:val="24"/>
          <w:lang w:eastAsia="en-US"/>
        </w:rPr>
        <w:t xml:space="preserve">PRV, je podmienená splnením všetkých kritérií spôsobilosti, stanovených pre toto opatrenie v Usmernení pre administráciu osi 4 Leader </w:t>
      </w:r>
      <w:r>
        <w:rPr>
          <w:sz w:val="24"/>
          <w:szCs w:val="24"/>
        </w:rPr>
        <w:t xml:space="preserve">v platnom znení </w:t>
      </w:r>
      <w:r w:rsidRPr="00F156EE">
        <w:rPr>
          <w:sz w:val="24"/>
          <w:szCs w:val="24"/>
          <w:lang w:eastAsia="en-US"/>
        </w:rPr>
        <w:t>, kapitola 5. Implementácia integrovaných stratégií rozvoja územia a prílohe č.6 Charakteristika priorít a opatrení osi 3, ktoré sú implementované prostredníctvom osi 4 a kritérií spôsobilosti, ktoré si stanovila MAS v stratégií.</w:t>
      </w:r>
    </w:p>
    <w:p w:rsidR="00850462" w:rsidRPr="00A0050A" w:rsidRDefault="00850462" w:rsidP="00850462">
      <w:pPr>
        <w:jc w:val="both"/>
        <w:rPr>
          <w:sz w:val="24"/>
          <w:szCs w:val="24"/>
          <w:u w:val="single"/>
          <w:lang w:eastAsia="en-US"/>
        </w:rPr>
      </w:pPr>
    </w:p>
    <w:p w:rsidR="006360C8" w:rsidRPr="002C6F21" w:rsidRDefault="006360C8" w:rsidP="00B407B3">
      <w:pPr>
        <w:numPr>
          <w:ilvl w:val="0"/>
          <w:numId w:val="34"/>
        </w:numPr>
        <w:tabs>
          <w:tab w:val="left" w:pos="360"/>
        </w:tabs>
        <w:spacing w:line="264" w:lineRule="auto"/>
        <w:jc w:val="both"/>
        <w:rPr>
          <w:b/>
          <w:bCs/>
          <w:sz w:val="24"/>
          <w:szCs w:val="24"/>
        </w:rPr>
      </w:pPr>
      <w:r w:rsidRPr="002C6F21">
        <w:rPr>
          <w:b/>
          <w:bCs/>
          <w:sz w:val="24"/>
          <w:szCs w:val="24"/>
        </w:rPr>
        <w:t>Kritérium nevyhnutnosti</w:t>
      </w:r>
    </w:p>
    <w:p w:rsidR="007F32D4" w:rsidRPr="002C6F21" w:rsidRDefault="00A27927" w:rsidP="007F32D4">
      <w:pPr>
        <w:pStyle w:val="Zkladntext2"/>
        <w:tabs>
          <w:tab w:val="clear" w:pos="360"/>
        </w:tabs>
      </w:pPr>
      <w:r>
        <w:t xml:space="preserve">Konečnému prijímateľovi – predkladateľovi projektu </w:t>
      </w:r>
      <w:r w:rsidR="00EA1881">
        <w:t xml:space="preserve"> môže byť poskytnutá pomoc podľa tejto schémy len vtedy, keď podá ŽoNFP</w:t>
      </w:r>
      <w:r>
        <w:t xml:space="preserve"> (projekt)</w:t>
      </w:r>
      <w:r w:rsidR="00EA1881">
        <w:t xml:space="preserve"> pre opatrenie 3.1 Diverzifikácia smerom k nepoľnohospodárskym činnostiam z </w:t>
      </w:r>
      <w:r w:rsidR="00F32BCB">
        <w:t>PRV</w:t>
      </w:r>
      <w:r>
        <w:t xml:space="preserve"> implementované prostredníctvom osi 4</w:t>
      </w:r>
      <w:r w:rsidR="0021302E">
        <w:t xml:space="preserve"> Leader</w:t>
      </w:r>
      <w:r>
        <w:t xml:space="preserve"> a to na príslušnú MAS</w:t>
      </w:r>
      <w:r w:rsidR="007F2C11">
        <w:t xml:space="preserve"> pred začatím prác na projekte alebo pred začatím činnosti.</w:t>
      </w:r>
    </w:p>
    <w:p w:rsidR="00850462" w:rsidRDefault="00850462" w:rsidP="0021302E">
      <w:pPr>
        <w:pStyle w:val="Nadpis6"/>
        <w:numPr>
          <w:ilvl w:val="0"/>
          <w:numId w:val="0"/>
        </w:numPr>
        <w:spacing w:line="264" w:lineRule="auto"/>
        <w:jc w:val="both"/>
      </w:pPr>
    </w:p>
    <w:p w:rsidR="00850462" w:rsidRPr="002C6F21" w:rsidRDefault="006360C8" w:rsidP="00B407B3">
      <w:pPr>
        <w:pStyle w:val="Nadpis6"/>
        <w:numPr>
          <w:ilvl w:val="0"/>
          <w:numId w:val="34"/>
        </w:numPr>
        <w:spacing w:line="264" w:lineRule="auto"/>
        <w:jc w:val="both"/>
      </w:pPr>
      <w:r w:rsidRPr="002C6F21">
        <w:t>Kumulácia pomoci</w:t>
      </w:r>
    </w:p>
    <w:p w:rsidR="000171F4" w:rsidRPr="00BB5C9A" w:rsidRDefault="000171F4" w:rsidP="000171F4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sz w:val="24"/>
          <w:szCs w:val="24"/>
        </w:rPr>
      </w:pPr>
      <w:r w:rsidRPr="00BB5C9A">
        <w:rPr>
          <w:sz w:val="24"/>
          <w:szCs w:val="24"/>
        </w:rPr>
        <w:t xml:space="preserve">Maximálna výška pomoci a intenzita pomoci určené v článku </w:t>
      </w:r>
      <w:r w:rsidR="0096703F">
        <w:rPr>
          <w:sz w:val="24"/>
          <w:szCs w:val="24"/>
        </w:rPr>
        <w:t>J</w:t>
      </w:r>
      <w:r w:rsidRPr="00BB5C9A">
        <w:rPr>
          <w:sz w:val="24"/>
          <w:szCs w:val="24"/>
        </w:rPr>
        <w:t xml:space="preserve">. tejto schémy sa uplatnia bez ohľadu na to, či sa podpora, ktorou je poskytnutá pomoc, financuje iba zo štátnych zdrojov, alebo ju čiastočne financuje </w:t>
      </w:r>
      <w:r w:rsidR="00EE6A4A">
        <w:rPr>
          <w:sz w:val="24"/>
          <w:szCs w:val="24"/>
        </w:rPr>
        <w:t>Európska únia</w:t>
      </w:r>
      <w:r w:rsidRPr="00BB5C9A">
        <w:rPr>
          <w:sz w:val="24"/>
          <w:szCs w:val="24"/>
        </w:rPr>
        <w:t xml:space="preserve"> (ďalej len „E</w:t>
      </w:r>
      <w:r w:rsidR="00EE6A4A">
        <w:rPr>
          <w:sz w:val="24"/>
          <w:szCs w:val="24"/>
        </w:rPr>
        <w:t>Ú</w:t>
      </w:r>
      <w:r w:rsidRPr="00BB5C9A">
        <w:rPr>
          <w:sz w:val="24"/>
          <w:szCs w:val="24"/>
        </w:rPr>
        <w:t>“).</w:t>
      </w:r>
    </w:p>
    <w:p w:rsidR="000171F4" w:rsidRPr="00BB5C9A" w:rsidRDefault="000171F4" w:rsidP="000171F4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sz w:val="24"/>
          <w:szCs w:val="24"/>
        </w:rPr>
      </w:pPr>
      <w:r w:rsidRPr="00BB5C9A">
        <w:rPr>
          <w:sz w:val="24"/>
          <w:szCs w:val="24"/>
        </w:rPr>
        <w:t xml:space="preserve">Pomoc sa nesmie kumulovať s inou pomocou oslobodenou na základe nariadenia Komisie (ES) č. 800/2008 alebo s pomocou </w:t>
      </w:r>
      <w:r w:rsidRPr="00BB5C9A">
        <w:rPr>
          <w:i/>
          <w:iCs/>
          <w:sz w:val="24"/>
          <w:szCs w:val="24"/>
        </w:rPr>
        <w:t>de minimis</w:t>
      </w:r>
      <w:r w:rsidRPr="00BB5C9A">
        <w:rPr>
          <w:sz w:val="24"/>
          <w:szCs w:val="24"/>
        </w:rPr>
        <w:t xml:space="preserve">, ktorá spĺňa podmienky ustanovené v nariadení Komisie (ES) č. 1998/2006 (Úradný vestník EÚ L 379, 28.12.2006, str. 5) alebo s inými spôsobmi financovania zo strany </w:t>
      </w:r>
      <w:r w:rsidR="00EE6A4A">
        <w:rPr>
          <w:sz w:val="24"/>
          <w:szCs w:val="24"/>
        </w:rPr>
        <w:t>Európskej únie</w:t>
      </w:r>
      <w:r w:rsidR="00EE6A4A" w:rsidRPr="00BB5C9A">
        <w:rPr>
          <w:sz w:val="24"/>
          <w:szCs w:val="24"/>
        </w:rPr>
        <w:t xml:space="preserve"> </w:t>
      </w:r>
      <w:r w:rsidRPr="00BB5C9A">
        <w:rPr>
          <w:sz w:val="24"/>
          <w:szCs w:val="24"/>
        </w:rPr>
        <w:t xml:space="preserve">v súvislosti s tými istými – čiastočne alebo úplne sa prekrývajúcimi – oprávnenými výdavkami, ak by sa v dôsledku takejto kumulácie prekročila maximálna intenzita pomoci alebo výška pomoci uplatniteľná na túto pomoc podľa </w:t>
      </w:r>
      <w:r w:rsidR="003E18D3">
        <w:rPr>
          <w:sz w:val="24"/>
          <w:szCs w:val="24"/>
        </w:rPr>
        <w:t>článku</w:t>
      </w:r>
      <w:r w:rsidR="003E18D3" w:rsidRPr="00BB5C9A">
        <w:rPr>
          <w:sz w:val="24"/>
          <w:szCs w:val="24"/>
        </w:rPr>
        <w:t xml:space="preserve"> </w:t>
      </w:r>
      <w:r w:rsidR="0096703F">
        <w:rPr>
          <w:sz w:val="24"/>
          <w:szCs w:val="24"/>
        </w:rPr>
        <w:t>J</w:t>
      </w:r>
      <w:r w:rsidRPr="00BB5C9A">
        <w:rPr>
          <w:sz w:val="24"/>
          <w:szCs w:val="24"/>
        </w:rPr>
        <w:t>. tejto schémy.</w:t>
      </w:r>
    </w:p>
    <w:p w:rsidR="000171F4" w:rsidRPr="00BB5C9A" w:rsidRDefault="000171F4" w:rsidP="000171F4">
      <w:pPr>
        <w:pStyle w:val="Zarkazkladnhotextu3"/>
        <w:spacing w:after="0"/>
        <w:ind w:left="0" w:firstLine="0"/>
        <w:rPr>
          <w:noProof/>
        </w:rPr>
      </w:pPr>
      <w:r w:rsidRPr="00BB5C9A">
        <w:rPr>
          <w:noProof/>
        </w:rPr>
        <w:t>3. Kumulácia štátnej pomoci je vždy viazaná na konkrétny oprávnený projekt.</w:t>
      </w:r>
    </w:p>
    <w:p w:rsidR="006C3197" w:rsidRDefault="006C3197" w:rsidP="00AC4C08">
      <w:pPr>
        <w:pStyle w:val="Nadpis6"/>
        <w:numPr>
          <w:ilvl w:val="0"/>
          <w:numId w:val="0"/>
        </w:numPr>
        <w:jc w:val="both"/>
      </w:pPr>
    </w:p>
    <w:p w:rsidR="006360C8" w:rsidRPr="00223FEF" w:rsidRDefault="006360C8" w:rsidP="00B407B3">
      <w:pPr>
        <w:pStyle w:val="Nadpis6"/>
        <w:numPr>
          <w:ilvl w:val="0"/>
          <w:numId w:val="34"/>
        </w:numPr>
        <w:jc w:val="both"/>
      </w:pPr>
      <w:r w:rsidRPr="00223FEF">
        <w:t>Mechanizmus poskytovania pomoci</w:t>
      </w:r>
    </w:p>
    <w:p w:rsidR="000171F4" w:rsidRPr="000A38DF" w:rsidRDefault="000171F4" w:rsidP="000171F4">
      <w:pPr>
        <w:jc w:val="both"/>
        <w:rPr>
          <w:sz w:val="24"/>
          <w:szCs w:val="24"/>
        </w:rPr>
      </w:pPr>
      <w:r w:rsidRPr="000A38DF">
        <w:rPr>
          <w:sz w:val="24"/>
          <w:szCs w:val="24"/>
        </w:rPr>
        <w:t>Pomoc konečnému prijímateľovi – predkladateľovi projektu sa poskytuje v súlade s Usmernením pre administráciu osi 4 Leader, kapitola 8. Hodnotenie a výber ŽoNFP (projektov) konečného prijímateľa – predkladateľa projektu v rámci implementácie stratégie v platnom znení</w:t>
      </w:r>
      <w:r w:rsidR="00C7292C">
        <w:rPr>
          <w:rStyle w:val="Odkaznapoznmkupodiarou"/>
          <w:sz w:val="24"/>
          <w:szCs w:val="24"/>
        </w:rPr>
        <w:footnoteReference w:id="4"/>
      </w:r>
      <w:r w:rsidRPr="000A38DF">
        <w:rPr>
          <w:sz w:val="24"/>
          <w:szCs w:val="24"/>
        </w:rPr>
        <w:t>.</w:t>
      </w:r>
    </w:p>
    <w:p w:rsidR="000171F4" w:rsidRDefault="000171F4" w:rsidP="000171F4">
      <w:pPr>
        <w:pStyle w:val="Zkladntext3"/>
      </w:pPr>
    </w:p>
    <w:p w:rsidR="000171F4" w:rsidRDefault="000171F4" w:rsidP="000171F4">
      <w:pPr>
        <w:jc w:val="both"/>
        <w:rPr>
          <w:sz w:val="24"/>
          <w:szCs w:val="24"/>
        </w:rPr>
      </w:pPr>
      <w:r w:rsidRPr="00437CFD">
        <w:rPr>
          <w:sz w:val="24"/>
          <w:szCs w:val="24"/>
        </w:rPr>
        <w:t>Obsah Výzvy</w:t>
      </w:r>
      <w:r>
        <w:rPr>
          <w:sz w:val="24"/>
          <w:szCs w:val="24"/>
        </w:rPr>
        <w:t xml:space="preserve"> na implementáciu stratégie</w:t>
      </w:r>
      <w:r w:rsidRPr="00437CFD">
        <w:rPr>
          <w:sz w:val="24"/>
          <w:szCs w:val="24"/>
        </w:rPr>
        <w:t xml:space="preserve"> a jej náležitosti sú v súlade s § 36 </w:t>
      </w:r>
      <w:r w:rsidRPr="00437CFD">
        <w:rPr>
          <w:sz w:val="24"/>
          <w:szCs w:val="24"/>
          <w:lang w:eastAsia="en-US"/>
        </w:rPr>
        <w:t>zákona č.</w:t>
      </w:r>
      <w:r w:rsidR="00EF5400">
        <w:rPr>
          <w:sz w:val="24"/>
          <w:szCs w:val="24"/>
          <w:lang w:eastAsia="en-US"/>
        </w:rPr>
        <w:t> </w:t>
      </w:r>
      <w:r w:rsidRPr="00437CFD">
        <w:rPr>
          <w:sz w:val="24"/>
          <w:szCs w:val="24"/>
          <w:lang w:eastAsia="en-US"/>
        </w:rPr>
        <w:t xml:space="preserve">528/2008 Z. z. </w:t>
      </w:r>
    </w:p>
    <w:p w:rsidR="00115CD2" w:rsidRDefault="00115CD2" w:rsidP="00115CD2">
      <w:pPr>
        <w:pStyle w:val="Zkladntext3"/>
        <w:rPr>
          <w:color w:val="auto"/>
        </w:rPr>
      </w:pPr>
    </w:p>
    <w:p w:rsidR="006360C8" w:rsidRPr="00482EC8" w:rsidRDefault="006360C8" w:rsidP="00B407B3">
      <w:pPr>
        <w:pStyle w:val="Nadpis6"/>
        <w:numPr>
          <w:ilvl w:val="0"/>
          <w:numId w:val="34"/>
        </w:numPr>
        <w:spacing w:line="264" w:lineRule="auto"/>
        <w:jc w:val="both"/>
      </w:pPr>
      <w:r w:rsidRPr="00482EC8">
        <w:t>Rozpočet</w:t>
      </w:r>
    </w:p>
    <w:p w:rsidR="00CA721B" w:rsidRDefault="007F32D4" w:rsidP="00CA721B">
      <w:pPr>
        <w:jc w:val="both"/>
        <w:rPr>
          <w:color w:val="000000"/>
          <w:sz w:val="24"/>
          <w:szCs w:val="24"/>
        </w:rPr>
      </w:pPr>
      <w:r w:rsidRPr="00860E59">
        <w:rPr>
          <w:color w:val="000000"/>
          <w:sz w:val="24"/>
          <w:szCs w:val="24"/>
        </w:rPr>
        <w:t xml:space="preserve">Rozpočet </w:t>
      </w:r>
      <w:r>
        <w:rPr>
          <w:color w:val="000000"/>
          <w:sz w:val="24"/>
          <w:szCs w:val="24"/>
        </w:rPr>
        <w:t>(</w:t>
      </w:r>
      <w:r w:rsidRPr="00860E59">
        <w:rPr>
          <w:color w:val="000000"/>
          <w:sz w:val="24"/>
          <w:szCs w:val="24"/>
        </w:rPr>
        <w:t>objem finančných prostriedkov</w:t>
      </w:r>
      <w:r>
        <w:rPr>
          <w:color w:val="000000"/>
          <w:sz w:val="24"/>
          <w:szCs w:val="24"/>
        </w:rPr>
        <w:t>)</w:t>
      </w:r>
      <w:r w:rsidRPr="00860E59">
        <w:rPr>
          <w:color w:val="000000"/>
          <w:sz w:val="24"/>
          <w:szCs w:val="24"/>
        </w:rPr>
        <w:t xml:space="preserve"> pre opatrenie </w:t>
      </w:r>
      <w:r>
        <w:rPr>
          <w:color w:val="000000"/>
          <w:sz w:val="24"/>
          <w:szCs w:val="24"/>
        </w:rPr>
        <w:t>3.1 Diverzifikácia smerom k nepoľnohospodárskym činnostiam implementova</w:t>
      </w:r>
      <w:r w:rsidR="00F12887">
        <w:rPr>
          <w:color w:val="000000"/>
          <w:sz w:val="24"/>
          <w:szCs w:val="24"/>
        </w:rPr>
        <w:t>né prostredníctvom osi 4 Leader</w:t>
      </w:r>
      <w:r>
        <w:rPr>
          <w:color w:val="000000"/>
          <w:sz w:val="24"/>
          <w:szCs w:val="24"/>
        </w:rPr>
        <w:t xml:space="preserve"> sa riadi podmienkami definovanými v schválenej stratégií príslušnej  MAS</w:t>
      </w:r>
      <w:r w:rsidRPr="00076C8D">
        <w:rPr>
          <w:color w:val="000000"/>
          <w:sz w:val="24"/>
          <w:szCs w:val="24"/>
        </w:rPr>
        <w:t>.</w:t>
      </w:r>
      <w:r w:rsidRPr="00860E59">
        <w:rPr>
          <w:color w:val="000000"/>
          <w:sz w:val="24"/>
          <w:szCs w:val="24"/>
        </w:rPr>
        <w:t xml:space="preserve"> </w:t>
      </w:r>
      <w:r w:rsidR="00CA721B">
        <w:rPr>
          <w:color w:val="000000"/>
          <w:sz w:val="24"/>
          <w:szCs w:val="24"/>
        </w:rPr>
        <w:t>Miestna akčná skupina vo svojej Integrovanej stratégii rozvoja územia má určený celkový rozpočet na opatrenie 3</w:t>
      </w:r>
      <w:r w:rsidR="00BA3807">
        <w:rPr>
          <w:color w:val="000000"/>
          <w:sz w:val="24"/>
          <w:szCs w:val="24"/>
        </w:rPr>
        <w:t xml:space="preserve">.1 Diverzifikácia smerom k nepoľnohospodárskym činnostiam implementované prostredníctvom </w:t>
      </w:r>
      <w:r w:rsidR="00CA721B">
        <w:rPr>
          <w:color w:val="000000"/>
          <w:sz w:val="24"/>
          <w:szCs w:val="24"/>
        </w:rPr>
        <w:t xml:space="preserve">osi 4 Leader. Integrovanú stratégiu rozvoja územia má každá Miestna akčná skupina zverejnenú na </w:t>
      </w:r>
      <w:r w:rsidR="00256E90">
        <w:rPr>
          <w:color w:val="000000"/>
          <w:sz w:val="24"/>
          <w:szCs w:val="24"/>
        </w:rPr>
        <w:t>webovom sídle</w:t>
      </w:r>
      <w:r w:rsidR="00CA721B">
        <w:rPr>
          <w:color w:val="000000"/>
          <w:sz w:val="24"/>
          <w:szCs w:val="24"/>
        </w:rPr>
        <w:t xml:space="preserve"> Národnej siete rozvoja vidieka </w:t>
      </w:r>
    </w:p>
    <w:p w:rsidR="007F32D4" w:rsidRDefault="00CA721B" w:rsidP="00CA721B">
      <w:pPr>
        <w:jc w:val="both"/>
        <w:rPr>
          <w:sz w:val="24"/>
          <w:szCs w:val="24"/>
        </w:rPr>
      </w:pPr>
      <w:hyperlink r:id="rId10" w:history="1">
        <w:r w:rsidRPr="00C61212">
          <w:rPr>
            <w:rStyle w:val="Hypertextovprepojenie"/>
            <w:sz w:val="24"/>
            <w:szCs w:val="24"/>
          </w:rPr>
          <w:t>http://www.nsrv.sk/index.php?pl=18&amp;article=34&amp;PHPSESSID=eff9e7eb2161e804dcf1407d2357e9de</w:t>
        </w:r>
      </w:hyperlink>
    </w:p>
    <w:p w:rsidR="00CA721B" w:rsidRDefault="00CA721B" w:rsidP="00CA721B">
      <w:pPr>
        <w:jc w:val="both"/>
        <w:rPr>
          <w:sz w:val="24"/>
          <w:szCs w:val="24"/>
        </w:rPr>
      </w:pPr>
      <w:r>
        <w:rPr>
          <w:sz w:val="24"/>
          <w:szCs w:val="24"/>
        </w:rPr>
        <w:t>Indikatívny rozpočet na pomoc poskytovanú podľa tejto schémy podľa jednotlivých Integrovaných stratégií rozvoja územia každej Miestnej akčnej skupiny predstavuje</w:t>
      </w:r>
      <w:r w:rsidR="00832686">
        <w:rPr>
          <w:sz w:val="24"/>
          <w:szCs w:val="24"/>
        </w:rPr>
        <w:t xml:space="preserve"> na c</w:t>
      </w:r>
      <w:r w:rsidR="002E502A">
        <w:rPr>
          <w:sz w:val="24"/>
          <w:szCs w:val="24"/>
        </w:rPr>
        <w:t xml:space="preserve">elé obdobie implementácie ISRÚ </w:t>
      </w:r>
      <w:r>
        <w:rPr>
          <w:sz w:val="24"/>
          <w:szCs w:val="24"/>
        </w:rPr>
        <w:t>čiastku 2 198 960 EUR.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620"/>
        <w:gridCol w:w="1620"/>
        <w:gridCol w:w="1440"/>
        <w:gridCol w:w="1260"/>
      </w:tblGrid>
      <w:tr w:rsidR="004522A8" w:rsidRPr="00FA2F4D" w:rsidTr="00FA2F4D">
        <w:tc>
          <w:tcPr>
            <w:tcW w:w="3060" w:type="dxa"/>
          </w:tcPr>
          <w:p w:rsidR="00234173" w:rsidRPr="00FA2F4D" w:rsidRDefault="00234173" w:rsidP="00FA2F4D">
            <w:pPr>
              <w:jc w:val="both"/>
              <w:rPr>
                <w:color w:val="000000"/>
              </w:rPr>
            </w:pPr>
            <w:r w:rsidRPr="00FA2F4D">
              <w:rPr>
                <w:color w:val="000000"/>
              </w:rPr>
              <w:t>Rozpočet na schému</w:t>
            </w:r>
          </w:p>
        </w:tc>
        <w:tc>
          <w:tcPr>
            <w:tcW w:w="1620" w:type="dxa"/>
          </w:tcPr>
          <w:p w:rsidR="00234173" w:rsidRPr="00FA2F4D" w:rsidRDefault="00234173" w:rsidP="00FA2F4D">
            <w:pPr>
              <w:jc w:val="center"/>
              <w:rPr>
                <w:color w:val="000000"/>
              </w:rPr>
            </w:pPr>
            <w:r w:rsidRPr="00FA2F4D">
              <w:rPr>
                <w:color w:val="000000"/>
              </w:rPr>
              <w:t>2010</w:t>
            </w:r>
          </w:p>
        </w:tc>
        <w:tc>
          <w:tcPr>
            <w:tcW w:w="1620" w:type="dxa"/>
          </w:tcPr>
          <w:p w:rsidR="00234173" w:rsidRPr="00FA2F4D" w:rsidRDefault="00234173" w:rsidP="00FA2F4D">
            <w:pPr>
              <w:jc w:val="center"/>
              <w:rPr>
                <w:color w:val="000000"/>
              </w:rPr>
            </w:pPr>
            <w:r w:rsidRPr="00FA2F4D">
              <w:rPr>
                <w:color w:val="000000"/>
              </w:rPr>
              <w:t>2011</w:t>
            </w:r>
          </w:p>
        </w:tc>
        <w:tc>
          <w:tcPr>
            <w:tcW w:w="1440" w:type="dxa"/>
          </w:tcPr>
          <w:p w:rsidR="00234173" w:rsidRPr="00FA2F4D" w:rsidRDefault="00234173" w:rsidP="00FA2F4D">
            <w:pPr>
              <w:jc w:val="center"/>
              <w:rPr>
                <w:color w:val="000000"/>
              </w:rPr>
            </w:pPr>
            <w:r w:rsidRPr="00FA2F4D">
              <w:rPr>
                <w:color w:val="000000"/>
              </w:rPr>
              <w:t>2012</w:t>
            </w:r>
          </w:p>
        </w:tc>
        <w:tc>
          <w:tcPr>
            <w:tcW w:w="1260" w:type="dxa"/>
          </w:tcPr>
          <w:p w:rsidR="00234173" w:rsidRPr="00FA2F4D" w:rsidRDefault="00234173" w:rsidP="00FA2F4D">
            <w:pPr>
              <w:jc w:val="center"/>
              <w:rPr>
                <w:color w:val="000000"/>
              </w:rPr>
            </w:pPr>
            <w:r w:rsidRPr="00FA2F4D">
              <w:rPr>
                <w:color w:val="000000"/>
              </w:rPr>
              <w:t>2013</w:t>
            </w:r>
          </w:p>
        </w:tc>
      </w:tr>
      <w:tr w:rsidR="004522A8" w:rsidRPr="00FA2F4D" w:rsidTr="00FA2F4D">
        <w:tc>
          <w:tcPr>
            <w:tcW w:w="3060" w:type="dxa"/>
          </w:tcPr>
          <w:p w:rsidR="00234173" w:rsidRPr="00FA2F4D" w:rsidRDefault="00234173" w:rsidP="00FA2F4D">
            <w:pPr>
              <w:jc w:val="both"/>
              <w:rPr>
                <w:color w:val="000000"/>
              </w:rPr>
            </w:pPr>
            <w:r w:rsidRPr="00FA2F4D">
              <w:rPr>
                <w:color w:val="000000"/>
              </w:rPr>
              <w:t>Predpokladaný ročný rozpočet</w:t>
            </w:r>
          </w:p>
        </w:tc>
        <w:tc>
          <w:tcPr>
            <w:tcW w:w="1620" w:type="dxa"/>
          </w:tcPr>
          <w:p w:rsidR="00234173" w:rsidRPr="00FA2F4D" w:rsidRDefault="00234173" w:rsidP="00FA2F4D">
            <w:pPr>
              <w:jc w:val="right"/>
              <w:rPr>
                <w:color w:val="000000"/>
              </w:rPr>
            </w:pPr>
            <w:r w:rsidRPr="00FA2F4D">
              <w:rPr>
                <w:color w:val="000000"/>
              </w:rPr>
              <w:t xml:space="preserve">314 138 </w:t>
            </w:r>
            <w:r w:rsidR="004522A8" w:rsidRPr="00FA2F4D">
              <w:rPr>
                <w:color w:val="000000"/>
              </w:rPr>
              <w:t>€</w:t>
            </w:r>
          </w:p>
        </w:tc>
        <w:tc>
          <w:tcPr>
            <w:tcW w:w="1620" w:type="dxa"/>
          </w:tcPr>
          <w:p w:rsidR="00234173" w:rsidRPr="00FA2F4D" w:rsidRDefault="00234173" w:rsidP="00FA2F4D">
            <w:pPr>
              <w:jc w:val="right"/>
              <w:rPr>
                <w:color w:val="000000"/>
              </w:rPr>
            </w:pPr>
            <w:r w:rsidRPr="00FA2F4D">
              <w:rPr>
                <w:color w:val="000000"/>
              </w:rPr>
              <w:t>628 274 €</w:t>
            </w:r>
          </w:p>
        </w:tc>
        <w:tc>
          <w:tcPr>
            <w:tcW w:w="1440" w:type="dxa"/>
          </w:tcPr>
          <w:p w:rsidR="00234173" w:rsidRPr="00FA2F4D" w:rsidRDefault="00234173" w:rsidP="00FA2F4D">
            <w:pPr>
              <w:jc w:val="right"/>
              <w:rPr>
                <w:color w:val="000000"/>
              </w:rPr>
            </w:pPr>
            <w:r w:rsidRPr="00FA2F4D">
              <w:rPr>
                <w:color w:val="000000"/>
              </w:rPr>
              <w:t>628 274 €</w:t>
            </w:r>
          </w:p>
        </w:tc>
        <w:tc>
          <w:tcPr>
            <w:tcW w:w="1260" w:type="dxa"/>
          </w:tcPr>
          <w:p w:rsidR="00234173" w:rsidRPr="00FA2F4D" w:rsidRDefault="00234173" w:rsidP="00FA2F4D">
            <w:pPr>
              <w:jc w:val="right"/>
              <w:rPr>
                <w:color w:val="000000"/>
              </w:rPr>
            </w:pPr>
            <w:r w:rsidRPr="00FA2F4D">
              <w:rPr>
                <w:color w:val="000000"/>
              </w:rPr>
              <w:t>628 274 €</w:t>
            </w:r>
          </w:p>
        </w:tc>
      </w:tr>
    </w:tbl>
    <w:p w:rsidR="00A411BE" w:rsidRPr="00860E59" w:rsidRDefault="00A411BE" w:rsidP="00CA721B">
      <w:pPr>
        <w:jc w:val="both"/>
        <w:rPr>
          <w:color w:val="000000"/>
          <w:sz w:val="24"/>
          <w:szCs w:val="24"/>
        </w:rPr>
      </w:pPr>
    </w:p>
    <w:p w:rsidR="00850462" w:rsidRPr="000171F4" w:rsidRDefault="006360C8" w:rsidP="00B407B3">
      <w:pPr>
        <w:pStyle w:val="Nadpis6"/>
        <w:numPr>
          <w:ilvl w:val="0"/>
          <w:numId w:val="34"/>
        </w:numPr>
        <w:spacing w:line="264" w:lineRule="auto"/>
        <w:jc w:val="both"/>
      </w:pPr>
      <w:r w:rsidRPr="000171F4">
        <w:t>Transparentnosť a</w:t>
      </w:r>
      <w:r w:rsidR="00850462" w:rsidRPr="000171F4">
        <w:t> </w:t>
      </w:r>
      <w:r w:rsidRPr="000171F4">
        <w:t>monitorovanie</w:t>
      </w:r>
    </w:p>
    <w:p w:rsidR="00850462" w:rsidRPr="000171F4" w:rsidRDefault="00850462" w:rsidP="00850462">
      <w:pPr>
        <w:jc w:val="both"/>
        <w:rPr>
          <w:sz w:val="24"/>
          <w:szCs w:val="24"/>
          <w:lang w:eastAsia="en-US"/>
        </w:rPr>
      </w:pPr>
      <w:r w:rsidRPr="000171F4">
        <w:rPr>
          <w:sz w:val="24"/>
          <w:szCs w:val="24"/>
          <w:lang w:eastAsia="en-US"/>
        </w:rPr>
        <w:t>Posudzovanie ŽoNFP (projektov) sa vykonáva podľa pravidiel uvedených v pracovných postupoch stanovených vnútornými predpismi PPA a v </w:t>
      </w:r>
      <w:r w:rsidRPr="000171F4">
        <w:rPr>
          <w:b/>
          <w:bCs/>
          <w:sz w:val="24"/>
          <w:szCs w:val="24"/>
        </w:rPr>
        <w:t> </w:t>
      </w:r>
      <w:r w:rsidRPr="000171F4">
        <w:rPr>
          <w:sz w:val="24"/>
          <w:szCs w:val="24"/>
        </w:rPr>
        <w:t>súlade s Usmernením pre administráciu osi 4 Leader, kapitola 8. Hodnotenie a výber ŽoNFP (projektov) konečného prijímateľa predkladateľa projektu v rámci implementácie stratégie v platnom znení.</w:t>
      </w:r>
    </w:p>
    <w:p w:rsidR="00850462" w:rsidRDefault="00850462" w:rsidP="00850462">
      <w:pPr>
        <w:jc w:val="both"/>
        <w:rPr>
          <w:sz w:val="24"/>
          <w:szCs w:val="24"/>
          <w:highlight w:val="yellow"/>
          <w:lang w:eastAsia="en-US"/>
        </w:rPr>
      </w:pPr>
    </w:p>
    <w:p w:rsidR="00F32BCB" w:rsidRPr="00BB5C9A" w:rsidRDefault="00F32BCB" w:rsidP="00F32BCB">
      <w:pPr>
        <w:numPr>
          <w:ilvl w:val="0"/>
          <w:numId w:val="10"/>
        </w:numPr>
        <w:tabs>
          <w:tab w:val="clear" w:pos="720"/>
          <w:tab w:val="num" w:pos="360"/>
          <w:tab w:val="num" w:pos="3060"/>
        </w:tabs>
        <w:ind w:left="360"/>
        <w:jc w:val="both"/>
        <w:rPr>
          <w:sz w:val="24"/>
          <w:szCs w:val="24"/>
          <w:lang w:eastAsia="en-US"/>
        </w:rPr>
      </w:pPr>
      <w:r w:rsidRPr="00BB5C9A">
        <w:rPr>
          <w:sz w:val="24"/>
          <w:szCs w:val="24"/>
          <w:lang w:eastAsia="en-US"/>
        </w:rPr>
        <w:t xml:space="preserve">Posudzovanie ŽoNFP </w:t>
      </w:r>
      <w:r w:rsidR="00751F60" w:rsidRPr="000171F4">
        <w:rPr>
          <w:sz w:val="24"/>
          <w:szCs w:val="24"/>
          <w:lang w:eastAsia="en-US"/>
        </w:rPr>
        <w:t>(projektov</w:t>
      </w:r>
      <w:r w:rsidR="00751F60">
        <w:rPr>
          <w:sz w:val="24"/>
          <w:szCs w:val="24"/>
          <w:lang w:eastAsia="en-US"/>
        </w:rPr>
        <w:t xml:space="preserve">) </w:t>
      </w:r>
      <w:r w:rsidRPr="00BB5C9A">
        <w:rPr>
          <w:sz w:val="24"/>
          <w:szCs w:val="24"/>
          <w:lang w:eastAsia="en-US"/>
        </w:rPr>
        <w:t>sa vykonáva podľa pravidiel uvedených v pracovných postupoch stanovených vnútornými predpismi PPA.</w:t>
      </w:r>
    </w:p>
    <w:p w:rsidR="00F32BCB" w:rsidRPr="00BB5C9A" w:rsidRDefault="00F32BCB" w:rsidP="00F32BCB">
      <w:pPr>
        <w:numPr>
          <w:ilvl w:val="0"/>
          <w:numId w:val="10"/>
        </w:numPr>
        <w:tabs>
          <w:tab w:val="clear" w:pos="720"/>
          <w:tab w:val="num" w:pos="360"/>
          <w:tab w:val="num" w:pos="3060"/>
        </w:tabs>
        <w:ind w:left="360"/>
        <w:jc w:val="both"/>
        <w:rPr>
          <w:sz w:val="24"/>
          <w:szCs w:val="24"/>
          <w:lang w:eastAsia="en-US"/>
        </w:rPr>
      </w:pPr>
      <w:r w:rsidRPr="00BB5C9A">
        <w:rPr>
          <w:sz w:val="24"/>
          <w:szCs w:val="24"/>
          <w:lang w:eastAsia="en-US"/>
        </w:rPr>
        <w:t>Sťažnosti sa podávajú  na ústredie PPA podľa zákona č. 152/1998 Z. z. o sťažnostiach v znení neskorších predpisov.</w:t>
      </w:r>
    </w:p>
    <w:p w:rsidR="00F32BCB" w:rsidRPr="00BB5C9A" w:rsidRDefault="00F32BCB" w:rsidP="00F32BCB">
      <w:pPr>
        <w:numPr>
          <w:ilvl w:val="0"/>
          <w:numId w:val="10"/>
        </w:numPr>
        <w:tabs>
          <w:tab w:val="clear" w:pos="720"/>
          <w:tab w:val="num" w:pos="360"/>
          <w:tab w:val="num" w:pos="3060"/>
        </w:tabs>
        <w:ind w:left="360"/>
        <w:jc w:val="both"/>
        <w:rPr>
          <w:sz w:val="24"/>
          <w:szCs w:val="24"/>
          <w:lang w:eastAsia="en-US"/>
        </w:rPr>
      </w:pPr>
      <w:r w:rsidRPr="00BB5C9A">
        <w:rPr>
          <w:sz w:val="24"/>
          <w:szCs w:val="24"/>
          <w:lang w:eastAsia="en-US"/>
        </w:rPr>
        <w:t xml:space="preserve">Podľa ustanovenia § 17 ods. 2 písm. a) zákona č. 543/2007 Z. z. o pôsobnosti orgánov štátnej správy pri poskytovaní podpory v pôdohospodárstve a rozvoji vidieka sa na poskytovanie projektových podpôr spolufinancovaných z fondov EÚ nevzťahujú všeobecné predpisy o správnom konaní. </w:t>
      </w:r>
    </w:p>
    <w:p w:rsidR="00F32BCB" w:rsidRPr="00BB5C9A" w:rsidRDefault="00F32BCB" w:rsidP="00F32BCB">
      <w:pPr>
        <w:numPr>
          <w:ilvl w:val="0"/>
          <w:numId w:val="10"/>
        </w:numPr>
        <w:tabs>
          <w:tab w:val="clear" w:pos="720"/>
          <w:tab w:val="num" w:pos="360"/>
          <w:tab w:val="num" w:pos="3060"/>
        </w:tabs>
        <w:ind w:left="360"/>
        <w:jc w:val="both"/>
        <w:rPr>
          <w:sz w:val="24"/>
          <w:szCs w:val="24"/>
          <w:lang w:eastAsia="en-US"/>
        </w:rPr>
      </w:pPr>
      <w:r w:rsidRPr="00BB5C9A">
        <w:rPr>
          <w:sz w:val="24"/>
          <w:szCs w:val="24"/>
          <w:lang w:eastAsia="en-US"/>
        </w:rPr>
        <w:t xml:space="preserve">Ministerstvo a PPA po nadobudnutí účinnosti schémy uverejní na </w:t>
      </w:r>
      <w:r w:rsidR="00256E90">
        <w:rPr>
          <w:sz w:val="24"/>
          <w:szCs w:val="24"/>
          <w:lang w:eastAsia="en-US"/>
        </w:rPr>
        <w:t>svojom webovom sídle</w:t>
      </w:r>
      <w:r w:rsidRPr="00BB5C9A">
        <w:rPr>
          <w:sz w:val="24"/>
          <w:szCs w:val="24"/>
          <w:lang w:eastAsia="en-US"/>
        </w:rPr>
        <w:t xml:space="preserve"> jej úplné znenie, ktoré zostane na </w:t>
      </w:r>
      <w:r w:rsidR="00256E90">
        <w:rPr>
          <w:sz w:val="24"/>
          <w:szCs w:val="24"/>
          <w:lang w:eastAsia="en-US"/>
        </w:rPr>
        <w:t>tomto sídle</w:t>
      </w:r>
      <w:r w:rsidRPr="00BB5C9A">
        <w:rPr>
          <w:sz w:val="24"/>
          <w:szCs w:val="24"/>
          <w:lang w:eastAsia="en-US"/>
        </w:rPr>
        <w:t xml:space="preserve"> dostupné do konca platnosti schémy.</w:t>
      </w:r>
    </w:p>
    <w:p w:rsidR="00F32BCB" w:rsidRPr="00BB5C9A" w:rsidRDefault="00F32BCB" w:rsidP="00F32BCB">
      <w:pPr>
        <w:numPr>
          <w:ilvl w:val="0"/>
          <w:numId w:val="10"/>
        </w:numPr>
        <w:tabs>
          <w:tab w:val="clear" w:pos="720"/>
          <w:tab w:val="num" w:pos="360"/>
          <w:tab w:val="num" w:pos="3060"/>
        </w:tabs>
        <w:ind w:left="360"/>
        <w:jc w:val="both"/>
        <w:rPr>
          <w:sz w:val="24"/>
          <w:szCs w:val="24"/>
        </w:rPr>
      </w:pPr>
      <w:r w:rsidRPr="00BB5C9A">
        <w:rPr>
          <w:sz w:val="24"/>
          <w:szCs w:val="24"/>
        </w:rPr>
        <w:t xml:space="preserve">Ministerstvo a PPA zabezpečia uchovávanie podrobných záznamov o schéme po dobu 10 rokov odo dňa kedy bola v rámci tejto schémy poskytnutá posledná pomoc. </w:t>
      </w:r>
    </w:p>
    <w:p w:rsidR="00850462" w:rsidRPr="0095425A" w:rsidRDefault="00850462" w:rsidP="00850462">
      <w:pPr>
        <w:jc w:val="both"/>
        <w:rPr>
          <w:sz w:val="24"/>
          <w:szCs w:val="24"/>
          <w:highlight w:val="yellow"/>
        </w:rPr>
      </w:pPr>
    </w:p>
    <w:p w:rsidR="006360C8" w:rsidRPr="00482EC8" w:rsidRDefault="006360C8" w:rsidP="00B407B3">
      <w:pPr>
        <w:pStyle w:val="Nadpis6"/>
        <w:numPr>
          <w:ilvl w:val="0"/>
          <w:numId w:val="36"/>
        </w:numPr>
        <w:jc w:val="both"/>
      </w:pPr>
      <w:r w:rsidRPr="00482EC8">
        <w:t>Kontrola a vnútorný audit</w:t>
      </w:r>
    </w:p>
    <w:p w:rsidR="00F32BCB" w:rsidRPr="00BB5C9A" w:rsidRDefault="00F32BCB" w:rsidP="00F32BCB">
      <w:pPr>
        <w:pStyle w:val="Zkladntext"/>
        <w:numPr>
          <w:ilvl w:val="0"/>
          <w:numId w:val="11"/>
        </w:numPr>
        <w:tabs>
          <w:tab w:val="clear" w:pos="720"/>
          <w:tab w:val="num" w:pos="360"/>
          <w:tab w:val="num" w:pos="2340"/>
        </w:tabs>
        <w:ind w:left="357" w:hanging="357"/>
        <w:rPr>
          <w:lang w:eastAsia="en-US"/>
        </w:rPr>
      </w:pPr>
      <w:r w:rsidRPr="00BB5C9A">
        <w:rPr>
          <w:sz w:val="24"/>
          <w:szCs w:val="24"/>
          <w:lang w:eastAsia="en-US"/>
        </w:rPr>
        <w:t>Posudzovanie ŽoNFP</w:t>
      </w:r>
      <w:r w:rsidR="00751F60">
        <w:rPr>
          <w:sz w:val="24"/>
          <w:szCs w:val="24"/>
          <w:lang w:eastAsia="en-US"/>
        </w:rPr>
        <w:t xml:space="preserve"> </w:t>
      </w:r>
      <w:r w:rsidR="00751F60" w:rsidRPr="000171F4">
        <w:rPr>
          <w:sz w:val="24"/>
          <w:szCs w:val="24"/>
          <w:lang w:eastAsia="en-US"/>
        </w:rPr>
        <w:t>(projektov</w:t>
      </w:r>
      <w:r w:rsidR="00751F60">
        <w:rPr>
          <w:sz w:val="24"/>
          <w:szCs w:val="24"/>
          <w:lang w:eastAsia="en-US"/>
        </w:rPr>
        <w:t>)</w:t>
      </w:r>
      <w:r w:rsidRPr="00BB5C9A">
        <w:rPr>
          <w:sz w:val="24"/>
          <w:szCs w:val="24"/>
          <w:lang w:eastAsia="en-US"/>
        </w:rPr>
        <w:t>,</w:t>
      </w:r>
      <w:r w:rsidRPr="00BB5C9A">
        <w:rPr>
          <w:sz w:val="24"/>
          <w:szCs w:val="24"/>
        </w:rPr>
        <w:t xml:space="preserve"> uzatváranie Zmluvy, monitoring a poskytovanie platieb </w:t>
      </w:r>
      <w:r w:rsidRPr="00BB5C9A">
        <w:rPr>
          <w:sz w:val="24"/>
          <w:szCs w:val="24"/>
          <w:lang w:eastAsia="en-US"/>
        </w:rPr>
        <w:t xml:space="preserve">sa vykonáva podľa pravidiel uvedených v pracovných postupoch stanovených vnútornými predpismi PPA. </w:t>
      </w:r>
      <w:r w:rsidRPr="00BB5C9A">
        <w:rPr>
          <w:lang w:eastAsia="en-US"/>
        </w:rPr>
        <w:t xml:space="preserve"> </w:t>
      </w:r>
    </w:p>
    <w:p w:rsidR="00F32BCB" w:rsidRPr="00BB5C9A" w:rsidRDefault="00F32BCB" w:rsidP="00F32BCB">
      <w:pPr>
        <w:numPr>
          <w:ilvl w:val="0"/>
          <w:numId w:val="11"/>
        </w:numPr>
        <w:tabs>
          <w:tab w:val="clear" w:pos="720"/>
          <w:tab w:val="num" w:pos="360"/>
          <w:tab w:val="num" w:pos="2340"/>
        </w:tabs>
        <w:ind w:left="357" w:hanging="357"/>
        <w:jc w:val="both"/>
        <w:rPr>
          <w:sz w:val="24"/>
          <w:szCs w:val="24"/>
        </w:rPr>
      </w:pPr>
      <w:r w:rsidRPr="00BB5C9A">
        <w:rPr>
          <w:sz w:val="24"/>
          <w:szCs w:val="24"/>
        </w:rPr>
        <w:t>Vykonávanie kontroly pomoci vychádza z legislatívy E</w:t>
      </w:r>
      <w:r w:rsidR="00596F49">
        <w:rPr>
          <w:sz w:val="24"/>
          <w:szCs w:val="24"/>
        </w:rPr>
        <w:t>Ú</w:t>
      </w:r>
      <w:r w:rsidRPr="00BB5C9A">
        <w:rPr>
          <w:sz w:val="24"/>
          <w:szCs w:val="24"/>
        </w:rPr>
        <w:t xml:space="preserve"> – nariadenia Komisie (</w:t>
      </w:r>
      <w:r w:rsidR="000B3FC4">
        <w:rPr>
          <w:sz w:val="24"/>
          <w:szCs w:val="24"/>
        </w:rPr>
        <w:t>EÚ</w:t>
      </w:r>
      <w:r w:rsidRPr="00BB5C9A">
        <w:rPr>
          <w:sz w:val="24"/>
          <w:szCs w:val="24"/>
        </w:rPr>
        <w:t>) č.</w:t>
      </w:r>
      <w:r w:rsidR="000B3FC4">
        <w:rPr>
          <w:sz w:val="24"/>
          <w:szCs w:val="24"/>
        </w:rPr>
        <w:t xml:space="preserve"> 65/2011</w:t>
      </w:r>
      <w:r w:rsidRPr="00BB5C9A">
        <w:rPr>
          <w:sz w:val="24"/>
          <w:szCs w:val="24"/>
        </w:rPr>
        <w:t>, ktorým sa stanovujú podrobné pravidlá uplatňovania nariadenia Rady (ES) č.1698/2005, pokiaľ ide o realizáciu kontrolných postupov a krížového plnenia pri opatreniach na podporu rozvoja vidieka a zákona č. 502/2001 Z. z. o finančnej kontrole a vnútornom audite a o zmene a doplnení niektorých zákonov v znení zákona č. 618/2004 Z. z. ako aj z interných predpisov ministerstva a PPA na výkon kontroly.</w:t>
      </w:r>
    </w:p>
    <w:p w:rsidR="00F32BCB" w:rsidRPr="00BB5C9A" w:rsidRDefault="00F32BCB" w:rsidP="00F32BCB">
      <w:pPr>
        <w:pStyle w:val="Zarkazkladnhotextu"/>
        <w:autoSpaceDE w:val="0"/>
        <w:ind w:left="0"/>
      </w:pPr>
      <w:r w:rsidRPr="00BB5C9A">
        <w:t>Subjektmi zapojenými do finančnej kontroly sú:</w:t>
      </w:r>
    </w:p>
    <w:p w:rsidR="00F32BCB" w:rsidRPr="00BB5C9A" w:rsidRDefault="00F32BCB" w:rsidP="00F32BCB">
      <w:pPr>
        <w:pStyle w:val="Zarkazkladnhotextu"/>
        <w:numPr>
          <w:ilvl w:val="0"/>
          <w:numId w:val="3"/>
        </w:numPr>
        <w:tabs>
          <w:tab w:val="clear" w:pos="720"/>
          <w:tab w:val="left" w:pos="723"/>
        </w:tabs>
        <w:suppressAutoHyphens/>
        <w:autoSpaceDE w:val="0"/>
        <w:ind w:left="723"/>
      </w:pPr>
      <w:r w:rsidRPr="00BB5C9A">
        <w:t>Útvary kontroly ministerstva a </w:t>
      </w:r>
      <w:r w:rsidR="00EA5997">
        <w:t>PPA</w:t>
      </w:r>
      <w:r w:rsidRPr="00BB5C9A">
        <w:t>,</w:t>
      </w:r>
    </w:p>
    <w:p w:rsidR="00F32BCB" w:rsidRPr="00BB5C9A" w:rsidRDefault="00F32BCB" w:rsidP="00F32BCB">
      <w:pPr>
        <w:pStyle w:val="Zarkazkladnhotextu"/>
        <w:numPr>
          <w:ilvl w:val="0"/>
          <w:numId w:val="3"/>
        </w:numPr>
        <w:tabs>
          <w:tab w:val="clear" w:pos="720"/>
          <w:tab w:val="left" w:pos="723"/>
        </w:tabs>
        <w:suppressAutoHyphens/>
        <w:autoSpaceDE w:val="0"/>
        <w:ind w:left="723"/>
      </w:pPr>
      <w:r w:rsidRPr="00BB5C9A">
        <w:t>Ministerstvo financií Slovenskej republiky,</w:t>
      </w:r>
    </w:p>
    <w:p w:rsidR="00F32BCB" w:rsidRPr="00BB5C9A" w:rsidRDefault="00F32BCB" w:rsidP="00F32BCB">
      <w:pPr>
        <w:pStyle w:val="Zarkazkladnhotextu"/>
        <w:numPr>
          <w:ilvl w:val="0"/>
          <w:numId w:val="3"/>
        </w:numPr>
        <w:tabs>
          <w:tab w:val="clear" w:pos="720"/>
          <w:tab w:val="left" w:pos="723"/>
        </w:tabs>
        <w:suppressAutoHyphens/>
        <w:autoSpaceDE w:val="0"/>
        <w:ind w:left="723"/>
      </w:pPr>
      <w:r w:rsidRPr="00BB5C9A">
        <w:t>Správa finančnej kontroly</w:t>
      </w:r>
    </w:p>
    <w:p w:rsidR="00F32BCB" w:rsidRPr="00BB5C9A" w:rsidRDefault="00F32BCB" w:rsidP="00F32BCB">
      <w:pPr>
        <w:pStyle w:val="Zarkazkladnhotextu"/>
        <w:numPr>
          <w:ilvl w:val="0"/>
          <w:numId w:val="3"/>
        </w:numPr>
        <w:tabs>
          <w:tab w:val="clear" w:pos="720"/>
          <w:tab w:val="left" w:pos="723"/>
        </w:tabs>
        <w:suppressAutoHyphens/>
        <w:autoSpaceDE w:val="0"/>
        <w:ind w:left="723"/>
      </w:pPr>
      <w:r w:rsidRPr="00BB5C9A">
        <w:t>Najvyšší kontrolný úrad SR,</w:t>
      </w:r>
    </w:p>
    <w:p w:rsidR="00F32BCB" w:rsidRPr="00BB5C9A" w:rsidRDefault="00F32BCB" w:rsidP="00F32BCB">
      <w:pPr>
        <w:pStyle w:val="Zarkazkladnhotextu"/>
        <w:numPr>
          <w:ilvl w:val="0"/>
          <w:numId w:val="3"/>
        </w:numPr>
        <w:tabs>
          <w:tab w:val="clear" w:pos="720"/>
          <w:tab w:val="left" w:pos="723"/>
        </w:tabs>
        <w:suppressAutoHyphens/>
        <w:autoSpaceDE w:val="0"/>
        <w:ind w:left="723"/>
      </w:pPr>
      <w:r w:rsidRPr="00BB5C9A">
        <w:t>Európska komisia.</w:t>
      </w:r>
    </w:p>
    <w:p w:rsidR="00F32BCB" w:rsidRPr="00BB5C9A" w:rsidRDefault="00F32BCB" w:rsidP="00F32BCB">
      <w:pPr>
        <w:pStyle w:val="Zarkazkladnhotextu"/>
        <w:numPr>
          <w:ilvl w:val="0"/>
          <w:numId w:val="11"/>
        </w:numPr>
        <w:tabs>
          <w:tab w:val="clear" w:pos="720"/>
          <w:tab w:val="num" w:pos="360"/>
          <w:tab w:val="num" w:pos="2340"/>
        </w:tabs>
        <w:autoSpaceDE w:val="0"/>
        <w:autoSpaceDN w:val="0"/>
        <w:ind w:left="360"/>
      </w:pPr>
      <w:r w:rsidRPr="00BB5C9A">
        <w:t>Ministerstvo a PPA v súlade s § 19 zákona o štátnej pomoci kontroluje použitie dotácie, oprávnenosť vynaložených výdavkov a dodržiavanie podmienok poskytnutia pomoci. Ministerstvo kontroluje podľa zákona č. 502/2001 Z. z. dodržiavanie podmienok, za ktorých sa pomoc poskytla, ako aj ostatné skutočnosti, ktoré by mohli mať vplyv na správnosť a účelovosť poskytnutej dotácie.</w:t>
      </w:r>
    </w:p>
    <w:p w:rsidR="00F32BCB" w:rsidRPr="00BB5C9A" w:rsidRDefault="00F32BCB" w:rsidP="00F32BCB">
      <w:pPr>
        <w:pStyle w:val="Zarkazkladnhotextu"/>
        <w:numPr>
          <w:ilvl w:val="0"/>
          <w:numId w:val="11"/>
        </w:numPr>
        <w:tabs>
          <w:tab w:val="clear" w:pos="720"/>
          <w:tab w:val="num" w:pos="360"/>
          <w:tab w:val="num" w:pos="2340"/>
        </w:tabs>
        <w:autoSpaceDE w:val="0"/>
        <w:ind w:left="360"/>
      </w:pPr>
      <w:r w:rsidRPr="00BB5C9A">
        <w:t>Konečný</w:t>
      </w:r>
      <w:r w:rsidR="00223FEF">
        <w:t xml:space="preserve"> prijímateľ – predkladateľ projektu</w:t>
      </w:r>
      <w:r w:rsidRPr="00BB5C9A">
        <w:t xml:space="preserve"> v súlade s § 19 zákona o štátnej pomoci umožní ministerstvu a PPA vykonanie kontroly použitia dotácie a oprávnenosti vynaložených výdavkov. </w:t>
      </w:r>
    </w:p>
    <w:p w:rsidR="00F32BCB" w:rsidRPr="00BB5C9A" w:rsidRDefault="00F32BCB" w:rsidP="00F32BCB">
      <w:pPr>
        <w:pStyle w:val="Zarkazkladnhotextu"/>
        <w:numPr>
          <w:ilvl w:val="0"/>
          <w:numId w:val="11"/>
        </w:numPr>
        <w:tabs>
          <w:tab w:val="clear" w:pos="720"/>
          <w:tab w:val="num" w:pos="360"/>
          <w:tab w:val="num" w:pos="2340"/>
        </w:tabs>
        <w:autoSpaceDE w:val="0"/>
        <w:ind w:left="360"/>
      </w:pPr>
      <w:r w:rsidRPr="00BB5C9A">
        <w:t>Konečný</w:t>
      </w:r>
      <w:r w:rsidR="00223FEF">
        <w:t xml:space="preserve"> prijímateľ- predkladateľ projektu</w:t>
      </w:r>
      <w:r w:rsidRPr="00BB5C9A">
        <w:t xml:space="preserve"> vytvorí zamestnancom kontrolného orgánu vykonávajúcim kontrolu primerané podmienky na riadne a včasné vykonanie kontroly a poskytne im potrebnú súčinnosť a všetky vyžiadané informácie a listiny týkajúce sa najmä realizácie dotácie.</w:t>
      </w:r>
    </w:p>
    <w:p w:rsidR="00F32BCB" w:rsidRDefault="00F32BCB" w:rsidP="00850462">
      <w:pPr>
        <w:jc w:val="both"/>
        <w:rPr>
          <w:color w:val="000000"/>
          <w:sz w:val="24"/>
          <w:szCs w:val="24"/>
          <w:highlight w:val="yellow"/>
        </w:rPr>
      </w:pPr>
    </w:p>
    <w:p w:rsidR="006360C8" w:rsidRPr="00482EC8" w:rsidRDefault="006360C8" w:rsidP="00B407B3">
      <w:pPr>
        <w:pStyle w:val="Nadpis6"/>
        <w:numPr>
          <w:ilvl w:val="0"/>
          <w:numId w:val="36"/>
        </w:numPr>
        <w:jc w:val="both"/>
      </w:pPr>
      <w:r w:rsidRPr="00482EC8">
        <w:t>Platnosť a účinnosť schémy</w:t>
      </w:r>
    </w:p>
    <w:p w:rsidR="001C59CC" w:rsidRPr="00482EC8" w:rsidRDefault="006360C8" w:rsidP="00416029">
      <w:pPr>
        <w:pStyle w:val="Zkladntext21"/>
        <w:numPr>
          <w:ilvl w:val="1"/>
          <w:numId w:val="11"/>
        </w:numPr>
        <w:tabs>
          <w:tab w:val="clear" w:pos="1485"/>
          <w:tab w:val="num" w:pos="360"/>
        </w:tabs>
        <w:ind w:left="360" w:hanging="360"/>
      </w:pPr>
      <w:r w:rsidRPr="00482EC8">
        <w:t xml:space="preserve">Schéma nadobúda platnosť a účinnosť dňom zverejnenia na </w:t>
      </w:r>
      <w:r w:rsidR="006D7C8F">
        <w:t>webovom sídle</w:t>
      </w:r>
      <w:r w:rsidRPr="00482EC8">
        <w:t xml:space="preserve"> ministerstva </w:t>
      </w:r>
      <w:hyperlink r:id="rId11" w:history="1">
        <w:r w:rsidR="00646BB7" w:rsidRPr="000C3BBB">
          <w:rPr>
            <w:rStyle w:val="Hypertextovprepojenie"/>
          </w:rPr>
          <w:t>http://www.land.gov.sk</w:t>
        </w:r>
      </w:hyperlink>
      <w:r w:rsidR="00646BB7">
        <w:t xml:space="preserve"> </w:t>
      </w:r>
      <w:r w:rsidRPr="00482EC8">
        <w:t>a </w:t>
      </w:r>
      <w:r w:rsidR="00037FF0">
        <w:t>PPA</w:t>
      </w:r>
      <w:r w:rsidRPr="00482EC8">
        <w:t xml:space="preserve"> </w:t>
      </w:r>
      <w:hyperlink r:id="rId12" w:history="1">
        <w:r w:rsidR="001C59CC" w:rsidRPr="00276F63">
          <w:rPr>
            <w:rStyle w:val="Hypertextovprepojenie"/>
          </w:rPr>
          <w:t>http://www.apa.sk</w:t>
        </w:r>
      </w:hyperlink>
      <w:r w:rsidR="001C59CC">
        <w:t xml:space="preserve"> </w:t>
      </w:r>
      <w:r w:rsidR="00646BB7">
        <w:t>.</w:t>
      </w:r>
    </w:p>
    <w:p w:rsidR="006360C8" w:rsidRPr="00482EC8" w:rsidRDefault="00077077" w:rsidP="00ED5C31">
      <w:pPr>
        <w:pStyle w:val="Zoznamcitci1"/>
        <w:widowControl/>
        <w:numPr>
          <w:ilvl w:val="1"/>
          <w:numId w:val="11"/>
        </w:numPr>
        <w:tabs>
          <w:tab w:val="clear" w:pos="1485"/>
          <w:tab w:val="clear" w:pos="8640"/>
          <w:tab w:val="num" w:pos="360"/>
        </w:tabs>
        <w:spacing w:before="0" w:line="240" w:lineRule="auto"/>
        <w:ind w:left="360" w:hanging="360"/>
      </w:pPr>
      <w:r w:rsidRPr="00482EC8">
        <w:t>Zmeny v schéme je možné vykonať formou písomných dodatkov k</w:t>
      </w:r>
      <w:r w:rsidR="00ED5C31">
        <w:t> </w:t>
      </w:r>
      <w:r w:rsidRPr="00482EC8">
        <w:t>schéme</w:t>
      </w:r>
      <w:r w:rsidR="00ED5C31">
        <w:t xml:space="preserve">, pričom platnosť a účinnosť každého dodatku nastáva dňom jeho uverejnenia na </w:t>
      </w:r>
      <w:r w:rsidR="006D7C8F">
        <w:t>webovom sídle</w:t>
      </w:r>
      <w:r w:rsidR="00ED5C31">
        <w:t xml:space="preserve"> ministerstva www.</w:t>
      </w:r>
      <w:r w:rsidR="00EA5997">
        <w:t>land.gov.sk</w:t>
      </w:r>
      <w:r w:rsidR="006360C8" w:rsidRPr="00482EC8">
        <w:t xml:space="preserve">. </w:t>
      </w:r>
    </w:p>
    <w:p w:rsidR="006360C8" w:rsidRDefault="006360C8" w:rsidP="00416029">
      <w:pPr>
        <w:pStyle w:val="Zoznamcitci1"/>
        <w:widowControl/>
        <w:numPr>
          <w:ilvl w:val="1"/>
          <w:numId w:val="11"/>
        </w:numPr>
        <w:tabs>
          <w:tab w:val="clear" w:pos="1485"/>
          <w:tab w:val="clear" w:pos="8640"/>
          <w:tab w:val="num" w:pos="360"/>
        </w:tabs>
        <w:spacing w:before="0" w:line="240" w:lineRule="auto"/>
        <w:ind w:left="357" w:hanging="357"/>
      </w:pPr>
      <w:r w:rsidRPr="00482EC8">
        <w:t xml:space="preserve">Zmeny v európskej legislatíve podľa článku B. tejto schémy alebo v akejkoľvek s ňou súvisiacej legislatíve musia byť premietnuté do schémy v priebehu šiestich mesiacov od nadobudnutia ich </w:t>
      </w:r>
      <w:r w:rsidR="00EE6A4A">
        <w:t xml:space="preserve">platnosti a </w:t>
      </w:r>
      <w:r w:rsidRPr="00482EC8">
        <w:t>účinnosti.</w:t>
      </w:r>
    </w:p>
    <w:p w:rsidR="00EF241A" w:rsidRDefault="00EF241A" w:rsidP="006360C8">
      <w:pPr>
        <w:spacing w:line="264" w:lineRule="auto"/>
        <w:rPr>
          <w:b/>
          <w:bCs/>
          <w:sz w:val="24"/>
          <w:szCs w:val="24"/>
        </w:rPr>
      </w:pPr>
    </w:p>
    <w:p w:rsidR="006360C8" w:rsidRPr="00482EC8" w:rsidRDefault="006360C8" w:rsidP="00B407B3">
      <w:pPr>
        <w:numPr>
          <w:ilvl w:val="0"/>
          <w:numId w:val="36"/>
        </w:numPr>
        <w:spacing w:line="264" w:lineRule="auto"/>
        <w:rPr>
          <w:b/>
          <w:bCs/>
          <w:sz w:val="24"/>
          <w:szCs w:val="24"/>
        </w:rPr>
      </w:pPr>
      <w:r w:rsidRPr="00482EC8">
        <w:rPr>
          <w:b/>
          <w:bCs/>
          <w:sz w:val="24"/>
          <w:szCs w:val="24"/>
        </w:rPr>
        <w:t>Trvanie schémy</w:t>
      </w:r>
    </w:p>
    <w:p w:rsidR="00850462" w:rsidRPr="00223FEF" w:rsidRDefault="00850462" w:rsidP="00850462">
      <w:pPr>
        <w:jc w:val="both"/>
        <w:rPr>
          <w:sz w:val="24"/>
          <w:szCs w:val="24"/>
        </w:rPr>
      </w:pPr>
      <w:r w:rsidRPr="00223FEF">
        <w:rPr>
          <w:sz w:val="24"/>
          <w:szCs w:val="24"/>
        </w:rPr>
        <w:t>Platnosť</w:t>
      </w:r>
      <w:r w:rsidR="00EE6A4A">
        <w:rPr>
          <w:sz w:val="24"/>
          <w:szCs w:val="24"/>
        </w:rPr>
        <w:t xml:space="preserve"> a účinnosť</w:t>
      </w:r>
      <w:r w:rsidRPr="00223FEF">
        <w:rPr>
          <w:sz w:val="24"/>
          <w:szCs w:val="24"/>
        </w:rPr>
        <w:t xml:space="preserve"> schémy končí 31. decembra 2013. </w:t>
      </w:r>
    </w:p>
    <w:p w:rsidR="00ED5C31" w:rsidRDefault="00850462" w:rsidP="00850462">
      <w:pPr>
        <w:jc w:val="both"/>
        <w:rPr>
          <w:sz w:val="24"/>
          <w:szCs w:val="24"/>
        </w:rPr>
      </w:pPr>
      <w:r w:rsidRPr="00223FEF">
        <w:rPr>
          <w:sz w:val="24"/>
          <w:szCs w:val="24"/>
        </w:rPr>
        <w:t>Žiadosti o nenávratný finančný príspevok (proje</w:t>
      </w:r>
      <w:r w:rsidR="00223FEF">
        <w:rPr>
          <w:sz w:val="24"/>
          <w:szCs w:val="24"/>
        </w:rPr>
        <w:t xml:space="preserve">kty) sa predkladajú do 30. </w:t>
      </w:r>
      <w:r w:rsidR="00B16DF8">
        <w:rPr>
          <w:sz w:val="24"/>
          <w:szCs w:val="24"/>
        </w:rPr>
        <w:t xml:space="preserve">septembra </w:t>
      </w:r>
      <w:r w:rsidR="00223FEF">
        <w:rPr>
          <w:sz w:val="24"/>
          <w:szCs w:val="24"/>
        </w:rPr>
        <w:t>201</w:t>
      </w:r>
      <w:r w:rsidR="00B16DF8">
        <w:rPr>
          <w:sz w:val="24"/>
          <w:szCs w:val="24"/>
        </w:rPr>
        <w:t>3</w:t>
      </w:r>
      <w:r w:rsidRPr="00223FEF">
        <w:rPr>
          <w:sz w:val="24"/>
          <w:szCs w:val="24"/>
        </w:rPr>
        <w:t>.</w:t>
      </w:r>
    </w:p>
    <w:p w:rsidR="00817058" w:rsidRDefault="00194BE0" w:rsidP="00850462">
      <w:pPr>
        <w:jc w:val="both"/>
        <w:rPr>
          <w:sz w:val="24"/>
          <w:szCs w:val="24"/>
        </w:rPr>
      </w:pPr>
      <w:r>
        <w:rPr>
          <w:sz w:val="24"/>
          <w:szCs w:val="24"/>
        </w:rPr>
        <w:t>Rozhodnutie o žiadosti o nenávratný finančný príspevok musí byť vydané do 31.</w:t>
      </w:r>
      <w:r w:rsidR="00BC2AEB">
        <w:rPr>
          <w:sz w:val="24"/>
          <w:szCs w:val="24"/>
        </w:rPr>
        <w:t xml:space="preserve"> decembra </w:t>
      </w:r>
      <w:r>
        <w:rPr>
          <w:sz w:val="24"/>
          <w:szCs w:val="24"/>
        </w:rPr>
        <w:t>2013</w:t>
      </w:r>
      <w:r w:rsidR="008C218B">
        <w:rPr>
          <w:sz w:val="24"/>
          <w:szCs w:val="24"/>
        </w:rPr>
        <w:t>.</w:t>
      </w:r>
    </w:p>
    <w:p w:rsidR="00ED5C31" w:rsidRPr="0095425A" w:rsidRDefault="00850462" w:rsidP="00850462">
      <w:pPr>
        <w:jc w:val="both"/>
        <w:rPr>
          <w:sz w:val="24"/>
          <w:szCs w:val="24"/>
        </w:rPr>
      </w:pPr>
      <w:r w:rsidRPr="00223FEF">
        <w:rPr>
          <w:sz w:val="24"/>
          <w:szCs w:val="24"/>
        </w:rPr>
        <w:t>Vyplatenie  nenávratného finančného príspevku je možné uskutočniť po predložení dokladov preukazujúcich výšku oprávnených výdavkov</w:t>
      </w:r>
      <w:r w:rsidR="00EA5997">
        <w:rPr>
          <w:sz w:val="24"/>
          <w:szCs w:val="24"/>
        </w:rPr>
        <w:t xml:space="preserve"> (</w:t>
      </w:r>
      <w:r w:rsidR="001B3752">
        <w:rPr>
          <w:sz w:val="24"/>
          <w:szCs w:val="24"/>
        </w:rPr>
        <w:t>Žiadosti o platbu predloženej najneskôr do 30. 06. 2015)</w:t>
      </w:r>
      <w:r w:rsidR="00001664">
        <w:rPr>
          <w:sz w:val="24"/>
          <w:szCs w:val="24"/>
        </w:rPr>
        <w:t>.</w:t>
      </w:r>
    </w:p>
    <w:p w:rsidR="0064666F" w:rsidRDefault="0064666F" w:rsidP="006360C8">
      <w:pPr>
        <w:pStyle w:val="Normlnywebov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462" w:rsidRDefault="006360C8" w:rsidP="00B407B3">
      <w:pPr>
        <w:keepNext/>
        <w:keepLines/>
        <w:numPr>
          <w:ilvl w:val="0"/>
          <w:numId w:val="36"/>
        </w:numPr>
        <w:autoSpaceDE w:val="0"/>
        <w:jc w:val="both"/>
        <w:rPr>
          <w:b/>
          <w:bCs/>
          <w:sz w:val="24"/>
          <w:szCs w:val="24"/>
        </w:rPr>
      </w:pPr>
      <w:r w:rsidRPr="002C6F21">
        <w:rPr>
          <w:b/>
          <w:bCs/>
          <w:sz w:val="24"/>
          <w:szCs w:val="24"/>
        </w:rPr>
        <w:t>Prílohy</w:t>
      </w:r>
    </w:p>
    <w:p w:rsidR="00223FEF" w:rsidRDefault="00223FEF" w:rsidP="00B407B3">
      <w:pPr>
        <w:keepNext/>
        <w:keepLines/>
        <w:autoSpaceDE w:val="0"/>
        <w:jc w:val="both"/>
        <w:rPr>
          <w:sz w:val="24"/>
          <w:szCs w:val="24"/>
        </w:rPr>
      </w:pPr>
      <w:r w:rsidRPr="002A42AA">
        <w:rPr>
          <w:sz w:val="24"/>
          <w:szCs w:val="24"/>
        </w:rPr>
        <w:t>Prílohy k schéme na opatrenie 3.</w:t>
      </w:r>
      <w:r>
        <w:rPr>
          <w:sz w:val="24"/>
          <w:szCs w:val="24"/>
        </w:rPr>
        <w:t>1</w:t>
      </w:r>
      <w:r w:rsidRPr="002A4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Diverzifikácia smerom k nepoľnohospodárskym činnostiam </w:t>
      </w:r>
      <w:r w:rsidRPr="002A42AA">
        <w:rPr>
          <w:sz w:val="24"/>
          <w:szCs w:val="24"/>
        </w:rPr>
        <w:t xml:space="preserve">sa nachádzajú na </w:t>
      </w:r>
      <w:r w:rsidR="00B16DF8">
        <w:rPr>
          <w:sz w:val="24"/>
          <w:szCs w:val="24"/>
        </w:rPr>
        <w:t>webových sídlach</w:t>
      </w:r>
      <w:r>
        <w:rPr>
          <w:sz w:val="24"/>
          <w:szCs w:val="24"/>
        </w:rPr>
        <w:t xml:space="preserve"> PPA</w:t>
      </w:r>
      <w:r w:rsidR="00B16DF8">
        <w:rPr>
          <w:sz w:val="24"/>
          <w:szCs w:val="24"/>
        </w:rPr>
        <w:t xml:space="preserve"> a ministerstva</w:t>
      </w:r>
      <w:r>
        <w:rPr>
          <w:sz w:val="24"/>
          <w:szCs w:val="24"/>
        </w:rPr>
        <w:t xml:space="preserve">:  </w:t>
      </w:r>
    </w:p>
    <w:p w:rsidR="00223FEF" w:rsidRDefault="00223FEF" w:rsidP="00223FEF">
      <w:pPr>
        <w:autoSpaceDE w:val="0"/>
        <w:jc w:val="both"/>
        <w:rPr>
          <w:sz w:val="24"/>
          <w:szCs w:val="24"/>
        </w:rPr>
      </w:pPr>
    </w:p>
    <w:p w:rsidR="00223FEF" w:rsidRPr="00B16DF8" w:rsidRDefault="00223FEF" w:rsidP="00B16DF8">
      <w:pPr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Usmernenie pre administráciu osi 4 Leader a Prílohy (</w:t>
      </w:r>
      <w:hyperlink r:id="rId13" w:history="1">
        <w:r w:rsidR="00B16DF8" w:rsidRPr="001A321E">
          <w:rPr>
            <w:rStyle w:val="Hypertextovprepojenie"/>
            <w:sz w:val="24"/>
            <w:szCs w:val="24"/>
          </w:rPr>
          <w:t>http://www.apa.sk/index.php?navID=349</w:t>
        </w:r>
      </w:hyperlink>
      <w:hyperlink r:id="rId14" w:history="1"/>
      <w:r w:rsidRPr="00B16DF8">
        <w:rPr>
          <w:sz w:val="24"/>
          <w:szCs w:val="24"/>
        </w:rPr>
        <w:t>)</w:t>
      </w:r>
    </w:p>
    <w:p w:rsidR="00850462" w:rsidRPr="00037FF0" w:rsidRDefault="00850462" w:rsidP="00223FEF">
      <w:pPr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 w:rsidRPr="00037FF0">
        <w:rPr>
          <w:sz w:val="24"/>
          <w:szCs w:val="24"/>
        </w:rPr>
        <w:t xml:space="preserve">Nariadenie </w:t>
      </w:r>
      <w:r w:rsidRPr="00037FF0">
        <w:rPr>
          <w:sz w:val="24"/>
          <w:szCs w:val="24"/>
          <w:lang w:eastAsia="sk-SK"/>
        </w:rPr>
        <w:t xml:space="preserve">Rady (ES) č. 1698/2005 z 20. septembra 2005 o podpore rozvoja vidieka prostredníctvom Európskeho poľnohospodárskeho fondu pre rozvoj vidieka (EPFRV) </w:t>
      </w:r>
      <w:r w:rsidRPr="00037FF0">
        <w:rPr>
          <w:sz w:val="24"/>
          <w:szCs w:val="24"/>
        </w:rPr>
        <w:t>(Ú. v. EÚ L 277, 21.10.2005), (</w:t>
      </w:r>
      <w:hyperlink r:id="rId15" w:history="1">
        <w:r w:rsidRPr="00037FF0">
          <w:rPr>
            <w:rStyle w:val="Hypertextovprepojenie"/>
            <w:sz w:val="24"/>
            <w:szCs w:val="24"/>
          </w:rPr>
          <w:t>www.land.gov.sk/sk/index.php?navID=161&amp;id=476</w:t>
        </w:r>
      </w:hyperlink>
      <w:r w:rsidRPr="00037FF0">
        <w:rPr>
          <w:sz w:val="24"/>
          <w:szCs w:val="24"/>
        </w:rPr>
        <w:t xml:space="preserve">). </w:t>
      </w:r>
    </w:p>
    <w:p w:rsidR="00850462" w:rsidRPr="00037FF0" w:rsidRDefault="00850462" w:rsidP="00223FEF">
      <w:pPr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 w:rsidRPr="00037FF0">
        <w:rPr>
          <w:sz w:val="24"/>
          <w:szCs w:val="24"/>
        </w:rPr>
        <w:t>N</w:t>
      </w:r>
      <w:r w:rsidRPr="00037FF0">
        <w:rPr>
          <w:sz w:val="24"/>
          <w:szCs w:val="24"/>
          <w:lang w:eastAsia="sk-SK"/>
        </w:rPr>
        <w:t>ariadenia Komisie (ES) č.</w:t>
      </w:r>
      <w:r>
        <w:rPr>
          <w:sz w:val="24"/>
          <w:szCs w:val="24"/>
          <w:lang w:eastAsia="sk-SK"/>
        </w:rPr>
        <w:t xml:space="preserve"> </w:t>
      </w:r>
      <w:r w:rsidRPr="00037FF0">
        <w:rPr>
          <w:sz w:val="24"/>
          <w:szCs w:val="24"/>
          <w:lang w:eastAsia="sk-SK"/>
        </w:rPr>
        <w:t>1974/2006 z 15. decembra 2006, ktorým sa ustanovujú podrobné pravidlá vykonávania nariadenia Rady (ES) č.1698/2005 o podpore rozvoja vidieka prostredníctvom Európskeho poľnohospodárskeho fondu pre rozvoj vidieka (Ú. v. L368, 23. 12. 2006),</w:t>
      </w:r>
      <w:r w:rsidRPr="00037FF0">
        <w:rPr>
          <w:sz w:val="24"/>
          <w:szCs w:val="24"/>
        </w:rPr>
        <w:t>(</w:t>
      </w:r>
      <w:hyperlink r:id="rId16" w:history="1">
        <w:r w:rsidRPr="00037FF0">
          <w:rPr>
            <w:rStyle w:val="Hypertextovprepojenie"/>
            <w:sz w:val="24"/>
            <w:szCs w:val="24"/>
          </w:rPr>
          <w:t>www.land.gov.sk/sk/index.php?navID=161&amp;id=476</w:t>
        </w:r>
      </w:hyperlink>
      <w:r w:rsidRPr="00037FF0">
        <w:rPr>
          <w:sz w:val="24"/>
          <w:szCs w:val="24"/>
        </w:rPr>
        <w:t xml:space="preserve">). </w:t>
      </w:r>
    </w:p>
    <w:p w:rsidR="00787747" w:rsidRPr="0024360F" w:rsidRDefault="00787747">
      <w:pPr>
        <w:rPr>
          <w:sz w:val="24"/>
          <w:szCs w:val="24"/>
        </w:rPr>
      </w:pPr>
    </w:p>
    <w:sectPr w:rsidR="00787747" w:rsidRPr="0024360F" w:rsidSect="006360C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13" w:rsidRDefault="002E1213">
      <w:r>
        <w:separator/>
      </w:r>
    </w:p>
  </w:endnote>
  <w:endnote w:type="continuationSeparator" w:id="0">
    <w:p w:rsidR="002E1213" w:rsidRDefault="002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BC" w:rsidRDefault="007A36BC" w:rsidP="006360C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5891">
      <w:rPr>
        <w:rStyle w:val="slostrany"/>
        <w:noProof/>
      </w:rPr>
      <w:t>1</w:t>
    </w:r>
    <w:r>
      <w:rPr>
        <w:rStyle w:val="slostrany"/>
      </w:rPr>
      <w:fldChar w:fldCharType="end"/>
    </w:r>
  </w:p>
  <w:p w:rsidR="007A36BC" w:rsidRDefault="007A36BC" w:rsidP="006360C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13" w:rsidRDefault="002E1213">
      <w:r>
        <w:separator/>
      </w:r>
    </w:p>
  </w:footnote>
  <w:footnote w:type="continuationSeparator" w:id="0">
    <w:p w:rsidR="002E1213" w:rsidRDefault="002E1213">
      <w:r>
        <w:continuationSeparator/>
      </w:r>
    </w:p>
  </w:footnote>
  <w:footnote w:id="1">
    <w:p w:rsidR="00000000" w:rsidRDefault="007A36BC" w:rsidP="001B7EC2">
      <w:pPr>
        <w:pStyle w:val="Textpoznmkypodiarou"/>
      </w:pPr>
      <w:r>
        <w:rPr>
          <w:rStyle w:val="Odkaznapoznmkupodiarou"/>
        </w:rPr>
        <w:footnoteRef/>
      </w:r>
      <w:r>
        <w:t xml:space="preserve"> Ú. V. EÚ L214/3, 19.8.2009</w:t>
      </w:r>
    </w:p>
  </w:footnote>
  <w:footnote w:id="2">
    <w:p w:rsidR="00000000" w:rsidRDefault="007A36BC" w:rsidP="00BA1610">
      <w:pPr>
        <w:pStyle w:val="Textpoznmkypodiarou"/>
        <w:jc w:val="both"/>
      </w:pPr>
      <w:r w:rsidRPr="002C5036">
        <w:rPr>
          <w:rStyle w:val="Odkaznapoznmkupodiarou"/>
        </w:rPr>
        <w:footnoteRef/>
      </w:r>
      <w:r w:rsidRPr="002C5036">
        <w:t xml:space="preserve"> Integrovan</w:t>
      </w:r>
      <w:r>
        <w:t>á</w:t>
      </w:r>
      <w:r w:rsidRPr="002C5036">
        <w:t xml:space="preserve"> stratégi</w:t>
      </w:r>
      <w:r>
        <w:t>a</w:t>
      </w:r>
      <w:r w:rsidRPr="002C5036">
        <w:t xml:space="preserve"> rozvoja územia príslušnej  </w:t>
      </w:r>
      <w:r w:rsidRPr="002C5036">
        <w:rPr>
          <w:color w:val="000000"/>
        </w:rPr>
        <w:t xml:space="preserve">MAS, ktorej bol udelený Štatút Miestnej akčnej skupiny  </w:t>
      </w:r>
      <w:r w:rsidRPr="002C5036">
        <w:t xml:space="preserve">na základe Rozhodnutia o schválení Žiadosti o nenávratný finančný príspevok z Programu rozvoja vidieka SR </w:t>
      </w:r>
      <w:r w:rsidR="00BA15B5">
        <w:t xml:space="preserve">  </w:t>
      </w:r>
      <w:r w:rsidRPr="002C5036">
        <w:t>2007 – 2013, opatrenie 4.1 Implementácia Integrovaných stratégií rozvoja územia a opatrenie 4.3 Chod miestnej akčnej skupiny a stratégie  vydaného PPA</w:t>
      </w:r>
      <w:r>
        <w:t xml:space="preserve">, </w:t>
      </w:r>
      <w:r w:rsidRPr="002C5036">
        <w:t xml:space="preserve"> je</w:t>
      </w:r>
      <w:r>
        <w:t xml:space="preserve"> zverejnená na </w:t>
      </w:r>
      <w:r w:rsidR="00853ED0">
        <w:t>webovom sídle</w:t>
      </w:r>
      <w:r w:rsidRPr="002C5036">
        <w:t xml:space="preserve"> Národnej sieti rozvoja vidieka</w:t>
      </w:r>
      <w:r>
        <w:t xml:space="preserve">: </w:t>
      </w:r>
      <w:r w:rsidRPr="002C5036">
        <w:t xml:space="preserve"> </w:t>
      </w:r>
      <w:hyperlink r:id="rId1" w:history="1">
        <w:r w:rsidRPr="005145DA">
          <w:rPr>
            <w:rStyle w:val="Hypertextovprepojenie"/>
          </w:rPr>
          <w:t>http://www.nsrv.sk/index.php?pl=18&amp;article=34&amp;PHPSESSID=eff9e7eb2161e804dcf1407d2357e9de</w:t>
        </w:r>
      </w:hyperlink>
      <w:r>
        <w:t>.</w:t>
      </w:r>
    </w:p>
  </w:footnote>
  <w:footnote w:id="3">
    <w:p w:rsidR="007A36BC" w:rsidRPr="00C94B7F" w:rsidRDefault="007A36BC" w:rsidP="0071222E">
      <w:pPr>
        <w:widowControl w:val="0"/>
        <w:adjustRightInd w:val="0"/>
        <w:jc w:val="both"/>
        <w:textAlignment w:val="baseline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94B7F">
        <w:rPr>
          <w:sz w:val="18"/>
          <w:szCs w:val="18"/>
        </w:rPr>
        <w:t>Miestna akčná skupina musí dodržiavať podmienky pre príslušné opatrenia osi 3, ktoré sú uvedené v Usmernení pre administráciu osi 4 Leader v platnom znení a to nasledovne:</w:t>
      </w:r>
    </w:p>
    <w:p w:rsidR="007A36BC" w:rsidRPr="00867957" w:rsidRDefault="007A36BC" w:rsidP="0071222E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18"/>
          <w:szCs w:val="18"/>
        </w:rPr>
      </w:pPr>
      <w:r w:rsidRPr="00C94B7F">
        <w:t>min. výšku oprávnených výdavkov na 1 projekt stanovených pre príslušné opatrenia osi 3;</w:t>
      </w:r>
    </w:p>
    <w:p w:rsidR="00000000" w:rsidRDefault="007A36BC" w:rsidP="0071222E">
      <w:pPr>
        <w:widowControl w:val="0"/>
        <w:numPr>
          <w:ilvl w:val="0"/>
          <w:numId w:val="14"/>
        </w:numPr>
        <w:adjustRightInd w:val="0"/>
        <w:jc w:val="both"/>
        <w:textAlignment w:val="baseline"/>
      </w:pPr>
      <w:r w:rsidRPr="00C94B7F">
        <w:t xml:space="preserve">max. výšku oprávnených výdavkov na 1 projekt stanovených pre príslušné opatrenia osi 3, </w:t>
      </w:r>
      <w:r w:rsidR="00751F60">
        <w:t xml:space="preserve">ale </w:t>
      </w:r>
      <w:r w:rsidRPr="00C94B7F">
        <w:t>pričom si môže stanoviť nižšiu výšku maximálneho limitu oprávnených výdavkov pre príslušné opatrenia osi 3.</w:t>
      </w:r>
    </w:p>
  </w:footnote>
  <w:footnote w:id="4">
    <w:p w:rsidR="00000000" w:rsidRDefault="007A36BC">
      <w:pPr>
        <w:pStyle w:val="Textpoznmkypodiarou"/>
      </w:pPr>
      <w:r>
        <w:rPr>
          <w:rStyle w:val="Odkaznapoznmkupodiarou"/>
        </w:rPr>
        <w:footnoteRef/>
      </w:r>
      <w:r>
        <w:t xml:space="preserve"> Usmernenie pre administráciu osi 4 Leader je zverejnené na </w:t>
      </w:r>
      <w:r w:rsidR="00256E90">
        <w:t>webovom sídle</w:t>
      </w:r>
      <w:r>
        <w:t xml:space="preserve"> </w:t>
      </w:r>
      <w:r w:rsidRPr="00C7292C">
        <w:t>http://www.apa.sk/index.php?navID=349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500842"/>
    <w:multiLevelType w:val="hybridMultilevel"/>
    <w:tmpl w:val="C9C629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7C8A8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C93"/>
    <w:multiLevelType w:val="hybridMultilevel"/>
    <w:tmpl w:val="44B40E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7C8A8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1187"/>
    <w:multiLevelType w:val="hybridMultilevel"/>
    <w:tmpl w:val="1F9AA20E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B7555"/>
    <w:multiLevelType w:val="hybridMultilevel"/>
    <w:tmpl w:val="CE204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8C0248"/>
    <w:multiLevelType w:val="hybridMultilevel"/>
    <w:tmpl w:val="5BF8CF8A"/>
    <w:lvl w:ilvl="0" w:tplc="3D541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0DC51F6">
      <w:start w:val="1"/>
      <w:numFmt w:val="lowerLetter"/>
      <w:lvlText w:val="%3)"/>
      <w:lvlJc w:val="left"/>
      <w:pPr>
        <w:tabs>
          <w:tab w:val="num" w:pos="2113"/>
        </w:tabs>
        <w:ind w:left="2113" w:hanging="360"/>
      </w:pPr>
      <w:rPr>
        <w:rFonts w:cs="Times New Roman" w:hint="default"/>
      </w:rPr>
    </w:lvl>
    <w:lvl w:ilvl="3" w:tplc="8BD4BE72">
      <w:start w:val="6"/>
      <w:numFmt w:val="upperLetter"/>
      <w:lvlText w:val="%4."/>
      <w:lvlJc w:val="left"/>
      <w:pPr>
        <w:tabs>
          <w:tab w:val="num" w:pos="2653"/>
        </w:tabs>
        <w:ind w:left="2653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7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3AD03B8"/>
    <w:multiLevelType w:val="hybridMultilevel"/>
    <w:tmpl w:val="9FD4192E"/>
    <w:lvl w:ilvl="0" w:tplc="041B0003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B83A51"/>
    <w:multiLevelType w:val="hybridMultilevel"/>
    <w:tmpl w:val="E21877AE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1C6606"/>
    <w:multiLevelType w:val="hybridMultilevel"/>
    <w:tmpl w:val="82FEE3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4E04"/>
    <w:multiLevelType w:val="hybridMultilevel"/>
    <w:tmpl w:val="7EEA493C"/>
    <w:lvl w:ilvl="0" w:tplc="56FA4B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0BAB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D05E1C"/>
    <w:multiLevelType w:val="hybridMultilevel"/>
    <w:tmpl w:val="ACB66030"/>
    <w:lvl w:ilvl="0" w:tplc="19A05E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3" w15:restartNumberingAfterBreak="0">
    <w:nsid w:val="1F565228"/>
    <w:multiLevelType w:val="hybridMultilevel"/>
    <w:tmpl w:val="2B6899C2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20E5"/>
    <w:multiLevelType w:val="multilevel"/>
    <w:tmpl w:val="CD5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76B1"/>
    <w:multiLevelType w:val="hybridMultilevel"/>
    <w:tmpl w:val="9E3291DA"/>
    <w:lvl w:ilvl="0" w:tplc="358EDE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6AA6DF2">
      <w:numFmt w:val="bullet"/>
      <w:lvlText w:val="-"/>
      <w:lvlJc w:val="left"/>
      <w:pPr>
        <w:tabs>
          <w:tab w:val="num" w:pos="-545"/>
        </w:tabs>
        <w:ind w:left="-545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16" w15:restartNumberingAfterBreak="0">
    <w:nsid w:val="270A7363"/>
    <w:multiLevelType w:val="hybridMultilevel"/>
    <w:tmpl w:val="E0BABD34"/>
    <w:lvl w:ilvl="0" w:tplc="041B0001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sz w:val="20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195BD5"/>
    <w:multiLevelType w:val="hybridMultilevel"/>
    <w:tmpl w:val="803CF7DA"/>
    <w:lvl w:ilvl="0" w:tplc="8904D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8E0BDD"/>
    <w:multiLevelType w:val="hybridMultilevel"/>
    <w:tmpl w:val="788E6D1A"/>
    <w:lvl w:ilvl="0" w:tplc="041B0001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BE592A"/>
    <w:multiLevelType w:val="hybridMultilevel"/>
    <w:tmpl w:val="F53226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3D4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75039"/>
    <w:multiLevelType w:val="hybridMultilevel"/>
    <w:tmpl w:val="AC4211D8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74FD"/>
    <w:multiLevelType w:val="hybridMultilevel"/>
    <w:tmpl w:val="0DDAB308"/>
    <w:lvl w:ilvl="0" w:tplc="041B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73281"/>
    <w:multiLevelType w:val="hybridMultilevel"/>
    <w:tmpl w:val="8F38BACC"/>
    <w:lvl w:ilvl="0" w:tplc="33DA870C">
      <w:start w:val="18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E772E4"/>
    <w:multiLevelType w:val="hybridMultilevel"/>
    <w:tmpl w:val="0058A7E2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1C3A3B"/>
    <w:multiLevelType w:val="hybridMultilevel"/>
    <w:tmpl w:val="8250DC7E"/>
    <w:lvl w:ilvl="0" w:tplc="041B000F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74235"/>
    <w:multiLevelType w:val="hybridMultilevel"/>
    <w:tmpl w:val="A9D839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BA8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E56419"/>
    <w:multiLevelType w:val="hybridMultilevel"/>
    <w:tmpl w:val="BB18F858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806E1"/>
    <w:multiLevelType w:val="hybridMultilevel"/>
    <w:tmpl w:val="A2E47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7D5FA0"/>
    <w:multiLevelType w:val="hybridMultilevel"/>
    <w:tmpl w:val="2A009F4A"/>
    <w:lvl w:ilvl="0" w:tplc="9EB65DE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  <w:rPr>
        <w:rFonts w:cs="Times New Roman"/>
      </w:rPr>
    </w:lvl>
  </w:abstractNum>
  <w:abstractNum w:abstractNumId="29" w15:restartNumberingAfterBreak="0">
    <w:nsid w:val="5C421726"/>
    <w:multiLevelType w:val="hybridMultilevel"/>
    <w:tmpl w:val="8FBE06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25B9E"/>
    <w:multiLevelType w:val="hybridMultilevel"/>
    <w:tmpl w:val="3B5CA4C8"/>
    <w:lvl w:ilvl="0" w:tplc="282EB054">
      <w:start w:val="9"/>
      <w:numFmt w:val="upperLetter"/>
      <w:pStyle w:val="Nadpis6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421E5C"/>
    <w:multiLevelType w:val="hybridMultilevel"/>
    <w:tmpl w:val="302C83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4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ABE4B76"/>
    <w:multiLevelType w:val="hybridMultilevel"/>
    <w:tmpl w:val="C0DADCD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295F13"/>
    <w:multiLevelType w:val="hybridMultilevel"/>
    <w:tmpl w:val="60B6B486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4C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81CC1"/>
    <w:multiLevelType w:val="hybridMultilevel"/>
    <w:tmpl w:val="CD549B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30E4"/>
    <w:multiLevelType w:val="hybridMultilevel"/>
    <w:tmpl w:val="A0C64CEA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upperLetter"/>
      <w:pStyle w:val="Nadpis4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1">
      <w:start w:val="15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955979"/>
    <w:multiLevelType w:val="hybridMultilevel"/>
    <w:tmpl w:val="CD8066CA"/>
    <w:lvl w:ilvl="0" w:tplc="7CFE9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51FF9"/>
    <w:multiLevelType w:val="multilevel"/>
    <w:tmpl w:val="BA0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1"/>
  </w:num>
  <w:num w:numId="4">
    <w:abstractNumId w:val="36"/>
  </w:num>
  <w:num w:numId="5">
    <w:abstractNumId w:val="7"/>
  </w:num>
  <w:num w:numId="6">
    <w:abstractNumId w:val="6"/>
  </w:num>
  <w:num w:numId="7">
    <w:abstractNumId w:val="24"/>
  </w:num>
  <w:num w:numId="8">
    <w:abstractNumId w:val="21"/>
  </w:num>
  <w:num w:numId="9">
    <w:abstractNumId w:val="26"/>
  </w:num>
  <w:num w:numId="10">
    <w:abstractNumId w:val="17"/>
  </w:num>
  <w:num w:numId="11">
    <w:abstractNumId w:val="23"/>
  </w:num>
  <w:num w:numId="12">
    <w:abstractNumId w:val="18"/>
  </w:num>
  <w:num w:numId="13">
    <w:abstractNumId w:val="37"/>
  </w:num>
  <w:num w:numId="14">
    <w:abstractNumId w:val="9"/>
  </w:num>
  <w:num w:numId="15">
    <w:abstractNumId w:val="11"/>
  </w:num>
  <w:num w:numId="16">
    <w:abstractNumId w:val="16"/>
  </w:num>
  <w:num w:numId="17">
    <w:abstractNumId w:val="34"/>
  </w:num>
  <w:num w:numId="18">
    <w:abstractNumId w:val="31"/>
  </w:num>
  <w:num w:numId="19">
    <w:abstractNumId w:val="33"/>
  </w:num>
  <w:num w:numId="20">
    <w:abstractNumId w:val="20"/>
  </w:num>
  <w:num w:numId="21">
    <w:abstractNumId w:val="13"/>
  </w:num>
  <w:num w:numId="22">
    <w:abstractNumId w:val="25"/>
  </w:num>
  <w:num w:numId="23">
    <w:abstractNumId w:val="5"/>
  </w:num>
  <w:num w:numId="24">
    <w:abstractNumId w:val="28"/>
  </w:num>
  <w:num w:numId="25">
    <w:abstractNumId w:val="27"/>
  </w:num>
  <w:num w:numId="26">
    <w:abstractNumId w:val="12"/>
  </w:num>
  <w:num w:numId="27">
    <w:abstractNumId w:val="2"/>
  </w:num>
  <w:num w:numId="28">
    <w:abstractNumId w:val="3"/>
  </w:num>
  <w:num w:numId="29">
    <w:abstractNumId w:val="10"/>
  </w:num>
  <w:num w:numId="30">
    <w:abstractNumId w:val="15"/>
  </w:num>
  <w:num w:numId="31">
    <w:abstractNumId w:val="29"/>
  </w:num>
  <w:num w:numId="32">
    <w:abstractNumId w:val="14"/>
  </w:num>
  <w:num w:numId="33">
    <w:abstractNumId w:val="19"/>
  </w:num>
  <w:num w:numId="34">
    <w:abstractNumId w:val="32"/>
  </w:num>
  <w:num w:numId="35">
    <w:abstractNumId w:val="4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D"/>
    <w:rsid w:val="00000475"/>
    <w:rsid w:val="00001664"/>
    <w:rsid w:val="00013D6C"/>
    <w:rsid w:val="000171F4"/>
    <w:rsid w:val="000373F8"/>
    <w:rsid w:val="00037968"/>
    <w:rsid w:val="00037FF0"/>
    <w:rsid w:val="000417BA"/>
    <w:rsid w:val="00044B9C"/>
    <w:rsid w:val="000470D6"/>
    <w:rsid w:val="00055A39"/>
    <w:rsid w:val="0006099E"/>
    <w:rsid w:val="00075D1C"/>
    <w:rsid w:val="00076C8D"/>
    <w:rsid w:val="00077077"/>
    <w:rsid w:val="00084CDB"/>
    <w:rsid w:val="00087806"/>
    <w:rsid w:val="00091E4B"/>
    <w:rsid w:val="000929C4"/>
    <w:rsid w:val="000A139B"/>
    <w:rsid w:val="000A26BC"/>
    <w:rsid w:val="000A38DF"/>
    <w:rsid w:val="000A6AFE"/>
    <w:rsid w:val="000B3FC4"/>
    <w:rsid w:val="000C25BF"/>
    <w:rsid w:val="000C3BBB"/>
    <w:rsid w:val="000D0F78"/>
    <w:rsid w:val="000D34A8"/>
    <w:rsid w:val="000D3FC2"/>
    <w:rsid w:val="000F23E7"/>
    <w:rsid w:val="000F42C8"/>
    <w:rsid w:val="000F5E43"/>
    <w:rsid w:val="000F637B"/>
    <w:rsid w:val="000F6CD6"/>
    <w:rsid w:val="00106463"/>
    <w:rsid w:val="00111B41"/>
    <w:rsid w:val="001151EC"/>
    <w:rsid w:val="00115CD2"/>
    <w:rsid w:val="00115F65"/>
    <w:rsid w:val="00117329"/>
    <w:rsid w:val="00124180"/>
    <w:rsid w:val="00133CA0"/>
    <w:rsid w:val="001369D1"/>
    <w:rsid w:val="00146CA9"/>
    <w:rsid w:val="00147DCF"/>
    <w:rsid w:val="00147EA6"/>
    <w:rsid w:val="0015673B"/>
    <w:rsid w:val="00161B8C"/>
    <w:rsid w:val="00161CDD"/>
    <w:rsid w:val="00165AB1"/>
    <w:rsid w:val="00170998"/>
    <w:rsid w:val="00172262"/>
    <w:rsid w:val="001774E2"/>
    <w:rsid w:val="00186525"/>
    <w:rsid w:val="001904DB"/>
    <w:rsid w:val="00194798"/>
    <w:rsid w:val="00194903"/>
    <w:rsid w:val="00194BE0"/>
    <w:rsid w:val="00197789"/>
    <w:rsid w:val="00197E60"/>
    <w:rsid w:val="001A19DD"/>
    <w:rsid w:val="001A321E"/>
    <w:rsid w:val="001A456D"/>
    <w:rsid w:val="001A4771"/>
    <w:rsid w:val="001B3752"/>
    <w:rsid w:val="001B709C"/>
    <w:rsid w:val="001B7EC2"/>
    <w:rsid w:val="001C1248"/>
    <w:rsid w:val="001C59CC"/>
    <w:rsid w:val="001D017C"/>
    <w:rsid w:val="001D021D"/>
    <w:rsid w:val="001D0A05"/>
    <w:rsid w:val="001F069A"/>
    <w:rsid w:val="001F62A0"/>
    <w:rsid w:val="0020637B"/>
    <w:rsid w:val="002065EC"/>
    <w:rsid w:val="002066B5"/>
    <w:rsid w:val="0021302E"/>
    <w:rsid w:val="002157DF"/>
    <w:rsid w:val="00223FEF"/>
    <w:rsid w:val="0022508B"/>
    <w:rsid w:val="002303B5"/>
    <w:rsid w:val="00234173"/>
    <w:rsid w:val="002435C1"/>
    <w:rsid w:val="0024360F"/>
    <w:rsid w:val="00252367"/>
    <w:rsid w:val="002524C6"/>
    <w:rsid w:val="0025439F"/>
    <w:rsid w:val="00256E90"/>
    <w:rsid w:val="00271DFB"/>
    <w:rsid w:val="002740D2"/>
    <w:rsid w:val="00275584"/>
    <w:rsid w:val="0027590E"/>
    <w:rsid w:val="00276F63"/>
    <w:rsid w:val="0028000F"/>
    <w:rsid w:val="00284173"/>
    <w:rsid w:val="002850E1"/>
    <w:rsid w:val="00286611"/>
    <w:rsid w:val="00287014"/>
    <w:rsid w:val="00287A71"/>
    <w:rsid w:val="00291035"/>
    <w:rsid w:val="0029370E"/>
    <w:rsid w:val="002A42AA"/>
    <w:rsid w:val="002B7325"/>
    <w:rsid w:val="002C1F09"/>
    <w:rsid w:val="002C25E0"/>
    <w:rsid w:val="002C5036"/>
    <w:rsid w:val="002C5B39"/>
    <w:rsid w:val="002C6D67"/>
    <w:rsid w:val="002C6F21"/>
    <w:rsid w:val="002D0214"/>
    <w:rsid w:val="002E043C"/>
    <w:rsid w:val="002E1213"/>
    <w:rsid w:val="002E502A"/>
    <w:rsid w:val="002F43DF"/>
    <w:rsid w:val="002F71B1"/>
    <w:rsid w:val="002F7545"/>
    <w:rsid w:val="003074DA"/>
    <w:rsid w:val="00313B6C"/>
    <w:rsid w:val="00314DFD"/>
    <w:rsid w:val="00327342"/>
    <w:rsid w:val="003351E6"/>
    <w:rsid w:val="00340998"/>
    <w:rsid w:val="00354F50"/>
    <w:rsid w:val="00357E27"/>
    <w:rsid w:val="003602D7"/>
    <w:rsid w:val="003669C8"/>
    <w:rsid w:val="0038659F"/>
    <w:rsid w:val="003909A0"/>
    <w:rsid w:val="00390C4E"/>
    <w:rsid w:val="003918F7"/>
    <w:rsid w:val="0039355F"/>
    <w:rsid w:val="00393D4F"/>
    <w:rsid w:val="003A2BBE"/>
    <w:rsid w:val="003A6811"/>
    <w:rsid w:val="003B7230"/>
    <w:rsid w:val="003C3A55"/>
    <w:rsid w:val="003C5953"/>
    <w:rsid w:val="003D2ED2"/>
    <w:rsid w:val="003D555D"/>
    <w:rsid w:val="003E18D3"/>
    <w:rsid w:val="003E5B40"/>
    <w:rsid w:val="003E66E0"/>
    <w:rsid w:val="003E73A2"/>
    <w:rsid w:val="0040712E"/>
    <w:rsid w:val="004102CF"/>
    <w:rsid w:val="00412DB5"/>
    <w:rsid w:val="004133C0"/>
    <w:rsid w:val="00416029"/>
    <w:rsid w:val="004238A0"/>
    <w:rsid w:val="00430ABA"/>
    <w:rsid w:val="00436DCA"/>
    <w:rsid w:val="00437CFD"/>
    <w:rsid w:val="0044075D"/>
    <w:rsid w:val="00447F9F"/>
    <w:rsid w:val="004511BB"/>
    <w:rsid w:val="004522A8"/>
    <w:rsid w:val="00457C96"/>
    <w:rsid w:val="00465D8C"/>
    <w:rsid w:val="00476E33"/>
    <w:rsid w:val="00482EC8"/>
    <w:rsid w:val="0048388B"/>
    <w:rsid w:val="004847E8"/>
    <w:rsid w:val="00495FC7"/>
    <w:rsid w:val="004A08A9"/>
    <w:rsid w:val="004A78DF"/>
    <w:rsid w:val="004B0D45"/>
    <w:rsid w:val="004B37B7"/>
    <w:rsid w:val="004B3FC8"/>
    <w:rsid w:val="004B5C1B"/>
    <w:rsid w:val="004D2591"/>
    <w:rsid w:val="004D47A5"/>
    <w:rsid w:val="004D7294"/>
    <w:rsid w:val="004E24E3"/>
    <w:rsid w:val="004E3176"/>
    <w:rsid w:val="004E4E99"/>
    <w:rsid w:val="004E5FF9"/>
    <w:rsid w:val="004E7E1A"/>
    <w:rsid w:val="005018B3"/>
    <w:rsid w:val="0050224F"/>
    <w:rsid w:val="00502E2F"/>
    <w:rsid w:val="005145DA"/>
    <w:rsid w:val="00532AE5"/>
    <w:rsid w:val="00536BFA"/>
    <w:rsid w:val="005438C9"/>
    <w:rsid w:val="00545599"/>
    <w:rsid w:val="00550820"/>
    <w:rsid w:val="00557BCF"/>
    <w:rsid w:val="0056327B"/>
    <w:rsid w:val="00565891"/>
    <w:rsid w:val="00566781"/>
    <w:rsid w:val="005868F2"/>
    <w:rsid w:val="0059572C"/>
    <w:rsid w:val="00595822"/>
    <w:rsid w:val="00595C5C"/>
    <w:rsid w:val="00596F49"/>
    <w:rsid w:val="005A0D44"/>
    <w:rsid w:val="005A407F"/>
    <w:rsid w:val="005A4DC7"/>
    <w:rsid w:val="005B0639"/>
    <w:rsid w:val="005B608A"/>
    <w:rsid w:val="005B6B5C"/>
    <w:rsid w:val="005B7AAF"/>
    <w:rsid w:val="005D034A"/>
    <w:rsid w:val="005D2794"/>
    <w:rsid w:val="005E0CAE"/>
    <w:rsid w:val="005E74F3"/>
    <w:rsid w:val="005E762A"/>
    <w:rsid w:val="005F0F2F"/>
    <w:rsid w:val="006110DF"/>
    <w:rsid w:val="006126E2"/>
    <w:rsid w:val="006134CB"/>
    <w:rsid w:val="006141E0"/>
    <w:rsid w:val="0062244D"/>
    <w:rsid w:val="00624AF5"/>
    <w:rsid w:val="006360C8"/>
    <w:rsid w:val="0064666F"/>
    <w:rsid w:val="00646BB7"/>
    <w:rsid w:val="00651231"/>
    <w:rsid w:val="006631FE"/>
    <w:rsid w:val="00665AE0"/>
    <w:rsid w:val="006662C6"/>
    <w:rsid w:val="0067504F"/>
    <w:rsid w:val="006845CE"/>
    <w:rsid w:val="00687184"/>
    <w:rsid w:val="006919D7"/>
    <w:rsid w:val="0069390B"/>
    <w:rsid w:val="006B1A0A"/>
    <w:rsid w:val="006B3739"/>
    <w:rsid w:val="006B5315"/>
    <w:rsid w:val="006B7103"/>
    <w:rsid w:val="006C0973"/>
    <w:rsid w:val="006C3197"/>
    <w:rsid w:val="006D0A9E"/>
    <w:rsid w:val="006D7C8F"/>
    <w:rsid w:val="006D7D38"/>
    <w:rsid w:val="006E3872"/>
    <w:rsid w:val="006E40C6"/>
    <w:rsid w:val="0070016E"/>
    <w:rsid w:val="00700DF4"/>
    <w:rsid w:val="007030DD"/>
    <w:rsid w:val="0071222E"/>
    <w:rsid w:val="00712BF2"/>
    <w:rsid w:val="00716DB5"/>
    <w:rsid w:val="00717608"/>
    <w:rsid w:val="00720C26"/>
    <w:rsid w:val="00734B3E"/>
    <w:rsid w:val="00742301"/>
    <w:rsid w:val="00743872"/>
    <w:rsid w:val="00747691"/>
    <w:rsid w:val="007505BD"/>
    <w:rsid w:val="00751F60"/>
    <w:rsid w:val="007526C3"/>
    <w:rsid w:val="007633DD"/>
    <w:rsid w:val="0076379C"/>
    <w:rsid w:val="0076445D"/>
    <w:rsid w:val="00764FF4"/>
    <w:rsid w:val="00775694"/>
    <w:rsid w:val="00783772"/>
    <w:rsid w:val="00787747"/>
    <w:rsid w:val="00790DA8"/>
    <w:rsid w:val="00792860"/>
    <w:rsid w:val="00796225"/>
    <w:rsid w:val="007A36BC"/>
    <w:rsid w:val="007B1E86"/>
    <w:rsid w:val="007B4D05"/>
    <w:rsid w:val="007B7167"/>
    <w:rsid w:val="007C435C"/>
    <w:rsid w:val="007C606A"/>
    <w:rsid w:val="007D256F"/>
    <w:rsid w:val="007D3449"/>
    <w:rsid w:val="007D51A2"/>
    <w:rsid w:val="007E6826"/>
    <w:rsid w:val="007E73FD"/>
    <w:rsid w:val="007F0B71"/>
    <w:rsid w:val="007F2C11"/>
    <w:rsid w:val="007F32D4"/>
    <w:rsid w:val="00812C18"/>
    <w:rsid w:val="00817058"/>
    <w:rsid w:val="00825B17"/>
    <w:rsid w:val="00826538"/>
    <w:rsid w:val="00832686"/>
    <w:rsid w:val="00833EC1"/>
    <w:rsid w:val="00835ECA"/>
    <w:rsid w:val="00836819"/>
    <w:rsid w:val="00850462"/>
    <w:rsid w:val="00853ED0"/>
    <w:rsid w:val="00855D11"/>
    <w:rsid w:val="00860E59"/>
    <w:rsid w:val="00867957"/>
    <w:rsid w:val="008718E8"/>
    <w:rsid w:val="00873348"/>
    <w:rsid w:val="00880357"/>
    <w:rsid w:val="008834B9"/>
    <w:rsid w:val="008845F2"/>
    <w:rsid w:val="00890CE4"/>
    <w:rsid w:val="00891B3C"/>
    <w:rsid w:val="00894110"/>
    <w:rsid w:val="008A4EAB"/>
    <w:rsid w:val="008B26D2"/>
    <w:rsid w:val="008B5B3C"/>
    <w:rsid w:val="008B74CC"/>
    <w:rsid w:val="008B79EC"/>
    <w:rsid w:val="008C218B"/>
    <w:rsid w:val="008D13F0"/>
    <w:rsid w:val="008D475B"/>
    <w:rsid w:val="008D4A39"/>
    <w:rsid w:val="008E0346"/>
    <w:rsid w:val="008E7290"/>
    <w:rsid w:val="008E7B17"/>
    <w:rsid w:val="008F5D90"/>
    <w:rsid w:val="008F6A0B"/>
    <w:rsid w:val="00903CB1"/>
    <w:rsid w:val="00904D06"/>
    <w:rsid w:val="00906632"/>
    <w:rsid w:val="009278CD"/>
    <w:rsid w:val="0093164E"/>
    <w:rsid w:val="0093170C"/>
    <w:rsid w:val="00933313"/>
    <w:rsid w:val="00934FAC"/>
    <w:rsid w:val="009366BE"/>
    <w:rsid w:val="0095425A"/>
    <w:rsid w:val="009560DB"/>
    <w:rsid w:val="00957115"/>
    <w:rsid w:val="00964525"/>
    <w:rsid w:val="00964FE8"/>
    <w:rsid w:val="0096703F"/>
    <w:rsid w:val="00967710"/>
    <w:rsid w:val="009735B2"/>
    <w:rsid w:val="00977F39"/>
    <w:rsid w:val="00980961"/>
    <w:rsid w:val="00980ABB"/>
    <w:rsid w:val="00982675"/>
    <w:rsid w:val="0098387A"/>
    <w:rsid w:val="00983B1A"/>
    <w:rsid w:val="00985611"/>
    <w:rsid w:val="009874AD"/>
    <w:rsid w:val="009927CD"/>
    <w:rsid w:val="009948EC"/>
    <w:rsid w:val="00997ED7"/>
    <w:rsid w:val="009A10F4"/>
    <w:rsid w:val="009A41C8"/>
    <w:rsid w:val="009A7EE5"/>
    <w:rsid w:val="009B351F"/>
    <w:rsid w:val="009B3D9F"/>
    <w:rsid w:val="009B4998"/>
    <w:rsid w:val="009C3C25"/>
    <w:rsid w:val="009C5168"/>
    <w:rsid w:val="009C5443"/>
    <w:rsid w:val="009D721E"/>
    <w:rsid w:val="009F3E15"/>
    <w:rsid w:val="009F4F57"/>
    <w:rsid w:val="00A0050A"/>
    <w:rsid w:val="00A03B72"/>
    <w:rsid w:val="00A075CE"/>
    <w:rsid w:val="00A20BB0"/>
    <w:rsid w:val="00A27927"/>
    <w:rsid w:val="00A34AE2"/>
    <w:rsid w:val="00A411BE"/>
    <w:rsid w:val="00A43C4F"/>
    <w:rsid w:val="00A47701"/>
    <w:rsid w:val="00A47A55"/>
    <w:rsid w:val="00A51893"/>
    <w:rsid w:val="00A8114B"/>
    <w:rsid w:val="00A824A1"/>
    <w:rsid w:val="00A86168"/>
    <w:rsid w:val="00A86A36"/>
    <w:rsid w:val="00A87526"/>
    <w:rsid w:val="00A92612"/>
    <w:rsid w:val="00A96937"/>
    <w:rsid w:val="00A96ADE"/>
    <w:rsid w:val="00A971ED"/>
    <w:rsid w:val="00AA0C15"/>
    <w:rsid w:val="00AA6506"/>
    <w:rsid w:val="00AA741D"/>
    <w:rsid w:val="00AB2C2E"/>
    <w:rsid w:val="00AB4DB2"/>
    <w:rsid w:val="00AC4C08"/>
    <w:rsid w:val="00AD6839"/>
    <w:rsid w:val="00AE0B52"/>
    <w:rsid w:val="00AE4F7F"/>
    <w:rsid w:val="00AF62C4"/>
    <w:rsid w:val="00B0153A"/>
    <w:rsid w:val="00B0783E"/>
    <w:rsid w:val="00B11ACC"/>
    <w:rsid w:val="00B1256C"/>
    <w:rsid w:val="00B16DF8"/>
    <w:rsid w:val="00B2183F"/>
    <w:rsid w:val="00B230A0"/>
    <w:rsid w:val="00B24778"/>
    <w:rsid w:val="00B2646A"/>
    <w:rsid w:val="00B407B3"/>
    <w:rsid w:val="00B50628"/>
    <w:rsid w:val="00B6668F"/>
    <w:rsid w:val="00B669CD"/>
    <w:rsid w:val="00B75DC1"/>
    <w:rsid w:val="00B769D1"/>
    <w:rsid w:val="00B77110"/>
    <w:rsid w:val="00B832BC"/>
    <w:rsid w:val="00B8609D"/>
    <w:rsid w:val="00B93F44"/>
    <w:rsid w:val="00B947AF"/>
    <w:rsid w:val="00BA0B57"/>
    <w:rsid w:val="00BA15B5"/>
    <w:rsid w:val="00BA1610"/>
    <w:rsid w:val="00BA3807"/>
    <w:rsid w:val="00BB5C9A"/>
    <w:rsid w:val="00BC2AEB"/>
    <w:rsid w:val="00BC4ABE"/>
    <w:rsid w:val="00BC50CC"/>
    <w:rsid w:val="00BD5C01"/>
    <w:rsid w:val="00BD5D10"/>
    <w:rsid w:val="00BD7128"/>
    <w:rsid w:val="00BD7CC8"/>
    <w:rsid w:val="00BE0ACB"/>
    <w:rsid w:val="00BE7E77"/>
    <w:rsid w:val="00BF0BFD"/>
    <w:rsid w:val="00BF310D"/>
    <w:rsid w:val="00BF5DBA"/>
    <w:rsid w:val="00C001B6"/>
    <w:rsid w:val="00C014D4"/>
    <w:rsid w:val="00C12E55"/>
    <w:rsid w:val="00C2173A"/>
    <w:rsid w:val="00C242F3"/>
    <w:rsid w:val="00C26531"/>
    <w:rsid w:val="00C31413"/>
    <w:rsid w:val="00C338AD"/>
    <w:rsid w:val="00C354E5"/>
    <w:rsid w:val="00C43C44"/>
    <w:rsid w:val="00C466B2"/>
    <w:rsid w:val="00C52642"/>
    <w:rsid w:val="00C54A97"/>
    <w:rsid w:val="00C54DAF"/>
    <w:rsid w:val="00C579EB"/>
    <w:rsid w:val="00C61212"/>
    <w:rsid w:val="00C7292C"/>
    <w:rsid w:val="00C80326"/>
    <w:rsid w:val="00C94B7F"/>
    <w:rsid w:val="00CA721B"/>
    <w:rsid w:val="00CB0E5A"/>
    <w:rsid w:val="00CB0FB5"/>
    <w:rsid w:val="00CB1588"/>
    <w:rsid w:val="00CC0D55"/>
    <w:rsid w:val="00CD2FDF"/>
    <w:rsid w:val="00CD5B20"/>
    <w:rsid w:val="00CE467B"/>
    <w:rsid w:val="00D02FD3"/>
    <w:rsid w:val="00D04355"/>
    <w:rsid w:val="00D04DF3"/>
    <w:rsid w:val="00D11B30"/>
    <w:rsid w:val="00D14453"/>
    <w:rsid w:val="00D16F70"/>
    <w:rsid w:val="00D21629"/>
    <w:rsid w:val="00D33DF4"/>
    <w:rsid w:val="00D347D8"/>
    <w:rsid w:val="00D44776"/>
    <w:rsid w:val="00D44EC5"/>
    <w:rsid w:val="00D4568F"/>
    <w:rsid w:val="00D50081"/>
    <w:rsid w:val="00D5242C"/>
    <w:rsid w:val="00D5379A"/>
    <w:rsid w:val="00D56D14"/>
    <w:rsid w:val="00D61826"/>
    <w:rsid w:val="00D85FA1"/>
    <w:rsid w:val="00D87EA0"/>
    <w:rsid w:val="00DA472A"/>
    <w:rsid w:val="00DD08E9"/>
    <w:rsid w:val="00DD1AC3"/>
    <w:rsid w:val="00DE039E"/>
    <w:rsid w:val="00DE0540"/>
    <w:rsid w:val="00DE10B3"/>
    <w:rsid w:val="00DE3434"/>
    <w:rsid w:val="00DE57AC"/>
    <w:rsid w:val="00DE7727"/>
    <w:rsid w:val="00E07D6C"/>
    <w:rsid w:val="00E1168A"/>
    <w:rsid w:val="00E117FD"/>
    <w:rsid w:val="00E16EC4"/>
    <w:rsid w:val="00E26389"/>
    <w:rsid w:val="00E32648"/>
    <w:rsid w:val="00E33F6E"/>
    <w:rsid w:val="00E5085E"/>
    <w:rsid w:val="00E53FEA"/>
    <w:rsid w:val="00E65C63"/>
    <w:rsid w:val="00E7410A"/>
    <w:rsid w:val="00E746BB"/>
    <w:rsid w:val="00E76044"/>
    <w:rsid w:val="00E8056E"/>
    <w:rsid w:val="00E81111"/>
    <w:rsid w:val="00E8164F"/>
    <w:rsid w:val="00E911BA"/>
    <w:rsid w:val="00E97C79"/>
    <w:rsid w:val="00EA1881"/>
    <w:rsid w:val="00EA5997"/>
    <w:rsid w:val="00EA6BB4"/>
    <w:rsid w:val="00EC0B4A"/>
    <w:rsid w:val="00ED0943"/>
    <w:rsid w:val="00ED0B53"/>
    <w:rsid w:val="00ED22EF"/>
    <w:rsid w:val="00ED5895"/>
    <w:rsid w:val="00ED5C31"/>
    <w:rsid w:val="00EE169A"/>
    <w:rsid w:val="00EE6A4A"/>
    <w:rsid w:val="00EE71FF"/>
    <w:rsid w:val="00EF241A"/>
    <w:rsid w:val="00EF2595"/>
    <w:rsid w:val="00EF5400"/>
    <w:rsid w:val="00F03DAC"/>
    <w:rsid w:val="00F05633"/>
    <w:rsid w:val="00F12887"/>
    <w:rsid w:val="00F13850"/>
    <w:rsid w:val="00F13DC4"/>
    <w:rsid w:val="00F156EE"/>
    <w:rsid w:val="00F17C2B"/>
    <w:rsid w:val="00F2209F"/>
    <w:rsid w:val="00F23259"/>
    <w:rsid w:val="00F3241F"/>
    <w:rsid w:val="00F32BCB"/>
    <w:rsid w:val="00F51210"/>
    <w:rsid w:val="00F5409F"/>
    <w:rsid w:val="00F55151"/>
    <w:rsid w:val="00F56238"/>
    <w:rsid w:val="00F63175"/>
    <w:rsid w:val="00F6524D"/>
    <w:rsid w:val="00F75950"/>
    <w:rsid w:val="00F85B74"/>
    <w:rsid w:val="00F875A4"/>
    <w:rsid w:val="00F90CF1"/>
    <w:rsid w:val="00F9469D"/>
    <w:rsid w:val="00FA2F4D"/>
    <w:rsid w:val="00FA6ED1"/>
    <w:rsid w:val="00FD1058"/>
    <w:rsid w:val="00FE2224"/>
    <w:rsid w:val="00FE48FD"/>
    <w:rsid w:val="00FE7E1C"/>
    <w:rsid w:val="00FF061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47E3EA-3191-4AE9-8388-E2A9A5C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16E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1231"/>
    <w:pPr>
      <w:keepNext/>
      <w:tabs>
        <w:tab w:val="num" w:pos="8886"/>
      </w:tabs>
      <w:spacing w:before="240" w:after="60"/>
      <w:ind w:left="12912" w:hanging="3912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aliases w:val="Nadpis 2b"/>
    <w:basedOn w:val="Normlny"/>
    <w:next w:val="Normlny"/>
    <w:link w:val="Nadpis2Char"/>
    <w:uiPriority w:val="99"/>
    <w:qFormat/>
    <w:rsid w:val="001D0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"/>
    <w:basedOn w:val="Normlny"/>
    <w:next w:val="Normlny"/>
    <w:link w:val="Nadpis3Char"/>
    <w:uiPriority w:val="99"/>
    <w:qFormat/>
    <w:rsid w:val="00651231"/>
    <w:pPr>
      <w:keepNext/>
      <w:tabs>
        <w:tab w:val="num" w:pos="8100"/>
      </w:tabs>
      <w:spacing w:before="240" w:after="60"/>
      <w:ind w:left="8100" w:hanging="72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60C8"/>
    <w:pPr>
      <w:keepNext/>
      <w:numPr>
        <w:ilvl w:val="1"/>
        <w:numId w:val="1"/>
      </w:numPr>
      <w:spacing w:line="264" w:lineRule="auto"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1231"/>
    <w:pPr>
      <w:tabs>
        <w:tab w:val="num" w:pos="9724"/>
      </w:tabs>
      <w:spacing w:before="240" w:after="60"/>
      <w:ind w:left="9724" w:hanging="1008"/>
      <w:jc w:val="center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60C8"/>
    <w:pPr>
      <w:keepNext/>
      <w:numPr>
        <w:numId w:val="2"/>
      </w:numPr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51231"/>
    <w:pPr>
      <w:tabs>
        <w:tab w:val="num" w:pos="10012"/>
      </w:tabs>
      <w:spacing w:before="240" w:after="60"/>
      <w:ind w:left="10012" w:hanging="1296"/>
      <w:jc w:val="center"/>
      <w:outlineLvl w:val="6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1231"/>
    <w:pPr>
      <w:tabs>
        <w:tab w:val="num" w:pos="10156"/>
      </w:tabs>
      <w:spacing w:before="240" w:after="60"/>
      <w:ind w:left="10156" w:hanging="1440"/>
      <w:jc w:val="center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1231"/>
    <w:pPr>
      <w:tabs>
        <w:tab w:val="num" w:pos="10300"/>
      </w:tabs>
      <w:spacing w:before="240" w:after="60"/>
      <w:ind w:left="10300" w:hanging="1584"/>
      <w:jc w:val="center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aliases w:val="Nadpis 2b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aliases w:val="H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75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6360C8"/>
    <w:pPr>
      <w:tabs>
        <w:tab w:val="left" w:pos="360"/>
      </w:tabs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6360C8"/>
    <w:pPr>
      <w:tabs>
        <w:tab w:val="left" w:pos="360"/>
      </w:tabs>
      <w:jc w:val="both"/>
    </w:pPr>
    <w:rPr>
      <w:color w:val="FF0000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360C8"/>
    <w:pPr>
      <w:spacing w:line="264" w:lineRule="auto"/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Hypertextovprepojenie">
    <w:name w:val="Hyperlink"/>
    <w:basedOn w:val="Predvolenpsmoodseku"/>
    <w:uiPriority w:val="99"/>
    <w:rsid w:val="006360C8"/>
    <w:rPr>
      <w:rFonts w:cs="Times New Roman"/>
      <w:color w:val="0000FF"/>
      <w:u w:val="single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6360C8"/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6360C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360C8"/>
    <w:pPr>
      <w:ind w:left="36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360C8"/>
    <w:pPr>
      <w:spacing w:after="120"/>
      <w:ind w:left="540" w:hanging="180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6360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sid w:val="006360C8"/>
    <w:rPr>
      <w:rFonts w:cs="Times New Roman"/>
    </w:rPr>
  </w:style>
  <w:style w:type="paragraph" w:customStyle="1" w:styleId="Normlnywebov4">
    <w:name w:val="Normálny (webový)4"/>
    <w:basedOn w:val="Normlny"/>
    <w:uiPriority w:val="99"/>
    <w:rsid w:val="006360C8"/>
    <w:pPr>
      <w:spacing w:after="210"/>
    </w:pPr>
    <w:rPr>
      <w:rFonts w:ascii="Tahoma" w:hAnsi="Tahoma" w:cs="Tahoma"/>
      <w:sz w:val="17"/>
      <w:szCs w:val="17"/>
      <w:lang w:eastAsia="sk-SK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6360C8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Zkladntext21">
    <w:name w:val="Základný text 21"/>
    <w:basedOn w:val="Normlny"/>
    <w:uiPriority w:val="99"/>
    <w:rsid w:val="006360C8"/>
    <w:pPr>
      <w:tabs>
        <w:tab w:val="left" w:pos="360"/>
      </w:tabs>
      <w:suppressAutoHyphens/>
      <w:jc w:val="both"/>
    </w:pPr>
    <w:rPr>
      <w:sz w:val="24"/>
      <w:szCs w:val="24"/>
      <w:lang w:eastAsia="ar-SA"/>
    </w:rPr>
  </w:style>
  <w:style w:type="paragraph" w:customStyle="1" w:styleId="Zoznamcitci1">
    <w:name w:val="Zoznam citácií1"/>
    <w:basedOn w:val="Normlny"/>
    <w:uiPriority w:val="99"/>
    <w:rsid w:val="006360C8"/>
    <w:pPr>
      <w:widowControl w:val="0"/>
      <w:tabs>
        <w:tab w:val="right" w:leader="dot" w:pos="8640"/>
      </w:tabs>
      <w:suppressAutoHyphens/>
      <w:spacing w:before="120" w:line="360" w:lineRule="auto"/>
      <w:ind w:left="360" w:hanging="360"/>
      <w:jc w:val="both"/>
    </w:pPr>
    <w:rPr>
      <w:sz w:val="24"/>
      <w:szCs w:val="24"/>
      <w:lang w:eastAsia="ar-SA"/>
    </w:rPr>
  </w:style>
  <w:style w:type="paragraph" w:customStyle="1" w:styleId="NumPar1">
    <w:name w:val="NumPar 1"/>
    <w:basedOn w:val="Normlny"/>
    <w:next w:val="Normlny"/>
    <w:uiPriority w:val="99"/>
    <w:rsid w:val="006360C8"/>
    <w:pPr>
      <w:numPr>
        <w:numId w:val="5"/>
      </w:numPr>
      <w:tabs>
        <w:tab w:val="left" w:pos="851"/>
      </w:tabs>
      <w:spacing w:before="120" w:after="120"/>
      <w:jc w:val="both"/>
    </w:pPr>
    <w:rPr>
      <w:sz w:val="24"/>
      <w:szCs w:val="24"/>
      <w:lang w:val="en-GB" w:eastAsia="sk-SK"/>
    </w:rPr>
  </w:style>
  <w:style w:type="paragraph" w:customStyle="1" w:styleId="Zkladntextb">
    <w:name w:val="Základný text.b"/>
    <w:basedOn w:val="Normlny"/>
    <w:uiPriority w:val="99"/>
    <w:rsid w:val="006360C8"/>
    <w:pPr>
      <w:jc w:val="both"/>
    </w:pPr>
    <w:rPr>
      <w:sz w:val="24"/>
      <w:szCs w:val="24"/>
      <w:lang w:eastAsia="sk-SK"/>
    </w:rPr>
  </w:style>
  <w:style w:type="paragraph" w:customStyle="1" w:styleId="mojNORMALNY">
    <w:name w:val="moj NORMALNY"/>
    <w:uiPriority w:val="99"/>
    <w:rsid w:val="006360C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Zkladntext23">
    <w:name w:val="Základný text 23"/>
    <w:basedOn w:val="Normlny"/>
    <w:uiPriority w:val="99"/>
    <w:rsid w:val="006360C8"/>
    <w:pPr>
      <w:tabs>
        <w:tab w:val="left" w:pos="360"/>
      </w:tabs>
      <w:suppressAutoHyphens/>
      <w:jc w:val="both"/>
    </w:pPr>
    <w:rPr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rsid w:val="009B351F"/>
    <w:rPr>
      <w:rFonts w:cs="Times New Roman"/>
      <w:color w:val="800080"/>
      <w:u w:val="single"/>
    </w:rPr>
  </w:style>
  <w:style w:type="character" w:styleId="Odkaznakomentr">
    <w:name w:val="annotation reference"/>
    <w:basedOn w:val="Predvolenpsmoodseku"/>
    <w:uiPriority w:val="99"/>
    <w:semiHidden/>
    <w:rsid w:val="00FA6ED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A6E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A6E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paragraph" w:customStyle="1" w:styleId="Char">
    <w:name w:val="Char"/>
    <w:basedOn w:val="Normlny"/>
    <w:uiPriority w:val="99"/>
    <w:rsid w:val="002C6D6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A86A36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rsid w:val="000D3FC2"/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CharCharCharCharCharChar1Char">
    <w:name w:val="Char Char Char Char Char Char1 Char"/>
    <w:basedOn w:val="Normlny"/>
    <w:uiPriority w:val="99"/>
    <w:rsid w:val="00867957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Normlnywebov">
    <w:name w:val="Normal (Web)"/>
    <w:basedOn w:val="Normlny"/>
    <w:uiPriority w:val="99"/>
    <w:rsid w:val="004D47A5"/>
    <w:pPr>
      <w:spacing w:before="100" w:beforeAutospacing="1" w:after="100" w:afterAutospacing="1"/>
      <w:ind w:firstLine="257"/>
      <w:jc w:val="both"/>
    </w:pPr>
    <w:rPr>
      <w:rFonts w:ascii="Arial" w:hAnsi="Arial" w:cs="Arial"/>
      <w:noProof/>
      <w:lang w:eastAsia="sk-SK"/>
    </w:rPr>
  </w:style>
  <w:style w:type="paragraph" w:customStyle="1" w:styleId="CharCharCharChar">
    <w:name w:val="Char Char Char Char"/>
    <w:basedOn w:val="Normlny"/>
    <w:uiPriority w:val="99"/>
    <w:rsid w:val="0096703F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A411B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hyperlink" Target="http://www.apa.sk/index.php?navID=3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.gov.sk/" TargetMode="External"/><Relationship Id="rId12" Type="http://schemas.openxmlformats.org/officeDocument/2006/relationships/hyperlink" Target="http://www.apa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and.gov.sk/sk/index.php?navID=161&amp;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d.gov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nd.gov.sk/sk/index.php?navID=161&amp;id=476" TargetMode="External"/><Relationship Id="rId10" Type="http://schemas.openxmlformats.org/officeDocument/2006/relationships/hyperlink" Target="http://www.nsrv.sk/index.php?pl=18&amp;article=34&amp;PHPSESSID=eff9e7eb2161e804dcf1407d2357e9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nance.gov.sk/Default.aspx?CatlD=5415" TargetMode="External"/><Relationship Id="rId14" Type="http://schemas.openxmlformats.org/officeDocument/2006/relationships/hyperlink" Target="http://www.apa.sk/index.php?navID=1&amp;id=294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rv.sk/index.php?pl=18&amp;article=34&amp;PHPSESSID=eff9e7eb2161e804dcf1407d2357e9d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3987</Words>
  <Characters>22728</Characters>
  <Application>Microsoft Office Word</Application>
  <DocSecurity>0</DocSecurity>
  <Lines>189</Lines>
  <Paragraphs>53</Paragraphs>
  <ScaleCrop>false</ScaleCrop>
  <Company/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 podpory diverzifikácie nepoľnohospodárskych činností</dc:title>
  <dc:subject/>
  <dc:creator>vladimir.jamnicky</dc:creator>
  <cp:keywords/>
  <dc:description/>
  <cp:lastModifiedBy>Juraj GOGORA</cp:lastModifiedBy>
  <cp:revision>2</cp:revision>
  <cp:lastPrinted>2011-05-25T10:03:00Z</cp:lastPrinted>
  <dcterms:created xsi:type="dcterms:W3CDTF">2018-04-16T08:27:00Z</dcterms:created>
  <dcterms:modified xsi:type="dcterms:W3CDTF">2018-04-16T08:27:00Z</dcterms:modified>
</cp:coreProperties>
</file>