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9B" w:rsidRPr="00D4119B" w:rsidRDefault="00D4119B" w:rsidP="00112D0A">
      <w:pPr>
        <w:pStyle w:val="Nadpis1"/>
        <w:jc w:val="center"/>
      </w:pPr>
      <w:bookmarkStart w:id="0" w:name="_Toc493149557"/>
      <w:r w:rsidRPr="00D4119B">
        <w:t>Priame podpory ako súčasť Spoločnej poľnohospodárskej politiky Európskej únie.</w:t>
      </w:r>
    </w:p>
    <w:p w:rsidR="00112D0A" w:rsidRPr="00D4119B" w:rsidRDefault="00D4119B" w:rsidP="00112D0A">
      <w:pPr>
        <w:pStyle w:val="Nadpis1"/>
        <w:jc w:val="center"/>
      </w:pPr>
      <w:r w:rsidRPr="00D4119B">
        <w:t xml:space="preserve"> Legislatíva Európskej únie </w:t>
      </w:r>
      <w:r w:rsidR="00112D0A" w:rsidRPr="00D4119B">
        <w:t xml:space="preserve">je pre každého žiadateľa o podporu </w:t>
      </w:r>
      <w:r w:rsidRPr="00D4119B">
        <w:t>r</w:t>
      </w:r>
      <w:r w:rsidR="00112D0A" w:rsidRPr="00D4119B">
        <w:t>ovnaká a</w:t>
      </w:r>
      <w:r w:rsidRPr="00D4119B">
        <w:t> </w:t>
      </w:r>
      <w:r w:rsidR="00112D0A" w:rsidRPr="00D4119B">
        <w:t>záväzná</w:t>
      </w:r>
      <w:r w:rsidRPr="00D4119B">
        <w:t>.</w:t>
      </w:r>
    </w:p>
    <w:p w:rsidR="00112D0A" w:rsidRDefault="00501611" w:rsidP="00D4119B">
      <w:pPr>
        <w:pStyle w:val="Nadpis2"/>
      </w:pPr>
      <w:r>
        <w:t>Spoločná poľnohospodárska politika Európskej únie</w:t>
      </w:r>
    </w:p>
    <w:p w:rsidR="007D2AEA" w:rsidRPr="00891C8A" w:rsidRDefault="007D2AEA" w:rsidP="00501611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891C8A">
        <w:rPr>
          <w:b/>
          <w:color w:val="000000"/>
        </w:rPr>
        <w:t>S</w:t>
      </w:r>
      <w:r w:rsidRPr="000F5FE9">
        <w:rPr>
          <w:b/>
          <w:color w:val="000000"/>
        </w:rPr>
        <w:t>poločná poľnohospodárska politika</w:t>
      </w:r>
      <w:r w:rsidRPr="000F5FE9">
        <w:rPr>
          <w:color w:val="000000"/>
        </w:rPr>
        <w:t xml:space="preserve"> (</w:t>
      </w:r>
      <w:r w:rsidR="00501611">
        <w:rPr>
          <w:color w:val="000000"/>
        </w:rPr>
        <w:t>ďalej len „SPP“) predstavuje jednu</w:t>
      </w:r>
      <w:r w:rsidRPr="000F5FE9">
        <w:rPr>
          <w:color w:val="000000"/>
        </w:rPr>
        <w:t xml:space="preserve"> zo základných, ale zároveň aj najkomplikovanejších</w:t>
      </w:r>
      <w:r w:rsidR="00501611">
        <w:rPr>
          <w:color w:val="000000"/>
        </w:rPr>
        <w:t xml:space="preserve">, </w:t>
      </w:r>
      <w:r w:rsidRPr="000F5FE9">
        <w:rPr>
          <w:color w:val="000000"/>
        </w:rPr>
        <w:t xml:space="preserve">najnákladnejších </w:t>
      </w:r>
      <w:r w:rsidRPr="00891C8A">
        <w:rPr>
          <w:color w:val="000000"/>
        </w:rPr>
        <w:t xml:space="preserve">a najdôležitejších </w:t>
      </w:r>
      <w:r w:rsidR="00501611">
        <w:rPr>
          <w:color w:val="000000"/>
        </w:rPr>
        <w:t>politík</w:t>
      </w:r>
      <w:r w:rsidRPr="000F5FE9">
        <w:rPr>
          <w:color w:val="000000"/>
        </w:rPr>
        <w:t xml:space="preserve"> Európskej únie. </w:t>
      </w:r>
      <w:r w:rsidRPr="00891C8A">
        <w:rPr>
          <w:color w:val="000000"/>
        </w:rPr>
        <w:t>Pravidlá pre v</w:t>
      </w:r>
      <w:r w:rsidR="00501611">
        <w:rPr>
          <w:color w:val="000000"/>
        </w:rPr>
        <w:t>ytvorenie SPP</w:t>
      </w:r>
      <w:r w:rsidRPr="000F5FE9">
        <w:rPr>
          <w:color w:val="000000"/>
        </w:rPr>
        <w:t xml:space="preserve"> </w:t>
      </w:r>
      <w:r w:rsidRPr="000F5FE9">
        <w:rPr>
          <w:b/>
          <w:color w:val="000000"/>
        </w:rPr>
        <w:t>predpokladala už Rímska zmluva z marca 1957</w:t>
      </w:r>
      <w:r w:rsidRPr="00891C8A">
        <w:rPr>
          <w:color w:val="000000"/>
        </w:rPr>
        <w:t xml:space="preserve"> č. 39 - </w:t>
      </w:r>
      <w:r w:rsidR="00501611">
        <w:rPr>
          <w:color w:val="000000"/>
        </w:rPr>
        <w:t>46</w:t>
      </w:r>
      <w:r w:rsidRPr="00891C8A">
        <w:rPr>
          <w:color w:val="000000"/>
        </w:rPr>
        <w:t>,</w:t>
      </w:r>
      <w:r w:rsidRPr="000F5FE9">
        <w:rPr>
          <w:color w:val="000000"/>
        </w:rPr>
        <w:t xml:space="preserve"> ktorou bolo formálne ustanovené Európske hospodárske spoločenstvo.</w:t>
      </w:r>
      <w:r w:rsidRPr="00891C8A">
        <w:rPr>
          <w:color w:val="000000"/>
        </w:rPr>
        <w:t xml:space="preserve"> Fungovanie SPP bolo spustené v roku 1962.</w:t>
      </w:r>
    </w:p>
    <w:p w:rsidR="007D2AEA" w:rsidRPr="00891C8A" w:rsidRDefault="007D2AEA" w:rsidP="00501611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891C8A">
        <w:rPr>
          <w:b/>
          <w:color w:val="000000"/>
        </w:rPr>
        <w:t>S</w:t>
      </w:r>
      <w:r w:rsidR="00501611">
        <w:rPr>
          <w:b/>
          <w:color w:val="000000"/>
        </w:rPr>
        <w:t>PP</w:t>
      </w:r>
      <w:r w:rsidRPr="00891C8A">
        <w:rPr>
          <w:color w:val="000000"/>
        </w:rPr>
        <w:t xml:space="preserve"> si stanovila nasledovné ciele:</w:t>
      </w:r>
    </w:p>
    <w:p w:rsidR="007D2AEA" w:rsidRPr="00A17C4F" w:rsidRDefault="007D2AEA" w:rsidP="00A17C4F">
      <w:pPr>
        <w:pStyle w:val="Odsekzoznamu"/>
        <w:numPr>
          <w:ilvl w:val="0"/>
          <w:numId w:val="18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C4F">
        <w:rPr>
          <w:rFonts w:ascii="Times New Roman" w:hAnsi="Times New Roman"/>
          <w:color w:val="000000"/>
          <w:sz w:val="24"/>
          <w:szCs w:val="24"/>
        </w:rPr>
        <w:t>zaručiť dostatok potravín za pr</w:t>
      </w:r>
      <w:r w:rsidR="00DC14B3">
        <w:rPr>
          <w:rFonts w:ascii="Times New Roman" w:hAnsi="Times New Roman"/>
          <w:color w:val="000000"/>
          <w:sz w:val="24"/>
          <w:szCs w:val="24"/>
        </w:rPr>
        <w:t>ijateľnú cenu pre spotrebiteľov</w:t>
      </w:r>
    </w:p>
    <w:p w:rsidR="007D2AEA" w:rsidRPr="00A17C4F" w:rsidRDefault="007D2AEA" w:rsidP="00A17C4F">
      <w:pPr>
        <w:pStyle w:val="Odsekzoznamu"/>
        <w:numPr>
          <w:ilvl w:val="0"/>
          <w:numId w:val="18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C4F">
        <w:rPr>
          <w:rFonts w:ascii="Times New Roman" w:hAnsi="Times New Roman"/>
          <w:color w:val="000000"/>
          <w:sz w:val="24"/>
          <w:szCs w:val="24"/>
        </w:rPr>
        <w:t>zvýšiť</w:t>
      </w:r>
      <w:r w:rsidR="00DC14B3">
        <w:rPr>
          <w:rFonts w:ascii="Times New Roman" w:hAnsi="Times New Roman"/>
          <w:color w:val="000000"/>
          <w:sz w:val="24"/>
          <w:szCs w:val="24"/>
        </w:rPr>
        <w:t xml:space="preserve"> produktivitu poľnohospodárstva</w:t>
      </w:r>
    </w:p>
    <w:p w:rsidR="007D2AEA" w:rsidRPr="00A17C4F" w:rsidRDefault="007D2AEA" w:rsidP="00A17C4F">
      <w:pPr>
        <w:pStyle w:val="Odsekzoznamu"/>
        <w:numPr>
          <w:ilvl w:val="0"/>
          <w:numId w:val="18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C4F">
        <w:rPr>
          <w:rFonts w:ascii="Times New Roman" w:hAnsi="Times New Roman"/>
          <w:color w:val="000000"/>
          <w:sz w:val="24"/>
          <w:szCs w:val="24"/>
        </w:rPr>
        <w:t>zaistiť dobrú životnú úroveň pre pracov</w:t>
      </w:r>
      <w:r w:rsidR="00DC14B3">
        <w:rPr>
          <w:rFonts w:ascii="Times New Roman" w:hAnsi="Times New Roman"/>
          <w:color w:val="000000"/>
          <w:sz w:val="24"/>
          <w:szCs w:val="24"/>
        </w:rPr>
        <w:t xml:space="preserve">níkov </w:t>
      </w:r>
      <w:proofErr w:type="spellStart"/>
      <w:r w:rsidR="00DC14B3">
        <w:rPr>
          <w:rFonts w:ascii="Times New Roman" w:hAnsi="Times New Roman"/>
          <w:color w:val="000000"/>
          <w:sz w:val="24"/>
          <w:szCs w:val="24"/>
        </w:rPr>
        <w:t>agro</w:t>
      </w:r>
      <w:proofErr w:type="spellEnd"/>
      <w:r w:rsidR="00DC14B3">
        <w:rPr>
          <w:rFonts w:ascii="Times New Roman" w:hAnsi="Times New Roman"/>
          <w:color w:val="000000"/>
          <w:sz w:val="24"/>
          <w:szCs w:val="24"/>
        </w:rPr>
        <w:t xml:space="preserve"> - sektora</w:t>
      </w:r>
    </w:p>
    <w:p w:rsidR="007D2AEA" w:rsidRPr="00A17C4F" w:rsidRDefault="007D2AEA" w:rsidP="00A17C4F">
      <w:pPr>
        <w:pStyle w:val="Odsekzoznamu"/>
        <w:numPr>
          <w:ilvl w:val="0"/>
          <w:numId w:val="18"/>
        </w:numPr>
        <w:shd w:val="clear" w:color="auto" w:fill="FFFFFF"/>
        <w:spacing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C4F">
        <w:rPr>
          <w:rFonts w:ascii="Times New Roman" w:hAnsi="Times New Roman"/>
          <w:color w:val="000000"/>
          <w:sz w:val="24"/>
          <w:szCs w:val="24"/>
        </w:rPr>
        <w:t>sta</w:t>
      </w:r>
      <w:r w:rsidR="00DC14B3">
        <w:rPr>
          <w:rFonts w:ascii="Times New Roman" w:hAnsi="Times New Roman"/>
          <w:color w:val="000000"/>
          <w:sz w:val="24"/>
          <w:szCs w:val="24"/>
        </w:rPr>
        <w:t>bilizovať poľnohospodárske trhy</w:t>
      </w:r>
    </w:p>
    <w:p w:rsidR="007D2AEA" w:rsidRDefault="007D2AEA" w:rsidP="00501611">
      <w:pPr>
        <w:spacing w:after="120" w:line="240" w:lineRule="auto"/>
        <w:jc w:val="both"/>
      </w:pPr>
      <w:r w:rsidRPr="00487D4E">
        <w:rPr>
          <w:b/>
        </w:rPr>
        <w:t xml:space="preserve">SPP </w:t>
      </w:r>
      <w:r w:rsidRPr="00891C8A">
        <w:t>p</w:t>
      </w:r>
      <w:r>
        <w:t>redstavuje 3 základné princípy</w:t>
      </w:r>
      <w:r w:rsidR="00CE64ED">
        <w:t>:</w:t>
      </w:r>
    </w:p>
    <w:p w:rsidR="007D2AEA" w:rsidRPr="00891C8A" w:rsidRDefault="007D2AEA" w:rsidP="00A17C4F">
      <w:pPr>
        <w:pStyle w:val="Odsekzoznamu"/>
        <w:numPr>
          <w:ilvl w:val="0"/>
          <w:numId w:val="19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1C8A">
        <w:rPr>
          <w:rFonts w:ascii="Times New Roman" w:hAnsi="Times New Roman"/>
          <w:sz w:val="24"/>
          <w:szCs w:val="24"/>
        </w:rPr>
        <w:t xml:space="preserve">vytvorenie jednotného trhu -  odstránenie kvantitatívnych reštrikcií </w:t>
      </w:r>
    </w:p>
    <w:p w:rsidR="007D2AEA" w:rsidRPr="00891C8A" w:rsidRDefault="007D2AEA" w:rsidP="00A17C4F">
      <w:pPr>
        <w:pStyle w:val="Odsekzoznamu"/>
        <w:numPr>
          <w:ilvl w:val="0"/>
          <w:numId w:val="19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1C8A">
        <w:rPr>
          <w:rFonts w:ascii="Times New Roman" w:hAnsi="Times New Roman"/>
          <w:sz w:val="24"/>
          <w:szCs w:val="24"/>
        </w:rPr>
        <w:t>finančnú solidaritu</w:t>
      </w:r>
    </w:p>
    <w:p w:rsidR="00AB689B" w:rsidRPr="00D4119B" w:rsidRDefault="007D2AEA" w:rsidP="00A17C4F">
      <w:pPr>
        <w:pStyle w:val="Odsekzoznamu"/>
        <w:numPr>
          <w:ilvl w:val="0"/>
          <w:numId w:val="19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1C8A">
        <w:rPr>
          <w:rFonts w:ascii="Times New Roman" w:hAnsi="Times New Roman"/>
          <w:sz w:val="24"/>
          <w:szCs w:val="24"/>
        </w:rPr>
        <w:t>preferencie Spoločenstva</w:t>
      </w:r>
    </w:p>
    <w:p w:rsidR="007D2AEA" w:rsidRPr="00891C8A" w:rsidRDefault="007D2AEA" w:rsidP="00501611">
      <w:pPr>
        <w:spacing w:after="120" w:line="240" w:lineRule="auto"/>
        <w:jc w:val="both"/>
      </w:pPr>
      <w:r>
        <w:t xml:space="preserve">V období 2014 -2020  </w:t>
      </w:r>
      <w:r w:rsidR="00D4119B">
        <w:t xml:space="preserve">SPP  reprezentuje </w:t>
      </w:r>
      <w:r w:rsidRPr="00891C8A">
        <w:t>zdieľané hospodárenie výdavkov v rámci 2 pilierov:</w:t>
      </w:r>
    </w:p>
    <w:p w:rsidR="007D2AEA" w:rsidRPr="00D4119B" w:rsidRDefault="007D2AEA" w:rsidP="00A17C4F">
      <w:pPr>
        <w:pStyle w:val="Odsekzoznamu"/>
        <w:numPr>
          <w:ilvl w:val="1"/>
          <w:numId w:val="12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119B">
        <w:rPr>
          <w:rFonts w:ascii="Times New Roman" w:hAnsi="Times New Roman"/>
          <w:sz w:val="24"/>
          <w:szCs w:val="24"/>
        </w:rPr>
        <w:t xml:space="preserve">Európsky poľnohospodársky záručný fond – EPZF </w:t>
      </w:r>
    </w:p>
    <w:p w:rsidR="007D2AEA" w:rsidRPr="00D4119B" w:rsidRDefault="007D2AEA" w:rsidP="00A17C4F">
      <w:pPr>
        <w:pStyle w:val="Odsekzoznamu"/>
        <w:numPr>
          <w:ilvl w:val="1"/>
          <w:numId w:val="12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119B">
        <w:rPr>
          <w:rFonts w:ascii="Times New Roman" w:hAnsi="Times New Roman"/>
          <w:sz w:val="24"/>
          <w:szCs w:val="24"/>
        </w:rPr>
        <w:t>Európsky poľnohospodársky fond rozvoja vidieka – EPFRV</w:t>
      </w:r>
    </w:p>
    <w:p w:rsidR="007D2AEA" w:rsidRPr="00D4119B" w:rsidRDefault="00094A35" w:rsidP="00D4119B">
      <w:pPr>
        <w:spacing w:after="120" w:line="240" w:lineRule="auto"/>
        <w:jc w:val="both"/>
      </w:pPr>
      <w:r>
        <w:t xml:space="preserve">Priame podpory sú realizované v rámci 1. piliera formou priamych platieb a v rámci druhého piliera formou neprojektových opatrení Programu rozvoja vidieka Slovenskej republiky </w:t>
      </w:r>
      <w:r w:rsidR="00F91CBD">
        <w:br/>
      </w:r>
      <w:r>
        <w:t xml:space="preserve">2014 – 2020. </w:t>
      </w:r>
    </w:p>
    <w:p w:rsidR="00AB689B" w:rsidRPr="00AB689B" w:rsidRDefault="00892E92" w:rsidP="00D4119B">
      <w:pPr>
        <w:pStyle w:val="Nadpis2"/>
      </w:pPr>
      <w:r w:rsidRPr="00057149">
        <w:t>L</w:t>
      </w:r>
      <w:bookmarkEnd w:id="0"/>
      <w:r w:rsidR="00D4119B">
        <w:t>egislatívny rámec</w:t>
      </w:r>
      <w:r w:rsidRPr="00057149">
        <w:t xml:space="preserve"> </w:t>
      </w:r>
      <w:bookmarkStart w:id="1" w:name="_Toc67974133"/>
      <w:bookmarkStart w:id="2" w:name="_Toc136154596"/>
      <w:bookmarkStart w:id="3" w:name="_Toc136155620"/>
      <w:bookmarkStart w:id="4" w:name="_Toc241331620"/>
    </w:p>
    <w:bookmarkEnd w:id="1"/>
    <w:bookmarkEnd w:id="2"/>
    <w:bookmarkEnd w:id="3"/>
    <w:bookmarkEnd w:id="4"/>
    <w:p w:rsidR="008755A6" w:rsidRDefault="00AB689B" w:rsidP="00D4119B">
      <w:pPr>
        <w:pStyle w:val="Nadpis2"/>
        <w:spacing w:before="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689B">
        <w:rPr>
          <w:rFonts w:ascii="Times New Roman" w:eastAsia="Times New Roman" w:hAnsi="Times New Roman" w:cs="Times New Roman"/>
          <w:color w:val="auto"/>
          <w:sz w:val="24"/>
          <w:szCs w:val="24"/>
        </w:rPr>
        <w:t>Legislatívu pre priame podpory nájdete na</w:t>
      </w:r>
      <w:r w:rsidR="00C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webovej</w:t>
      </w:r>
      <w:r w:rsidRPr="00AB68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stránke PPA</w:t>
      </w:r>
      <w:r w:rsidR="004D4A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tu:</w:t>
      </w:r>
    </w:p>
    <w:p w:rsidR="00AB689B" w:rsidRPr="00D4119B" w:rsidRDefault="007870D2" w:rsidP="00D4119B">
      <w:pPr>
        <w:pStyle w:val="Nadpis2"/>
        <w:spacing w:before="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7" w:history="1">
        <w:r w:rsidR="00AB689B" w:rsidRPr="00837049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http://www.apa.sk/pre-priame-podpory</w:t>
        </w:r>
      </w:hyperlink>
      <w:r w:rsidR="00AB689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01611" w:rsidRPr="00297AD8" w:rsidRDefault="00501611" w:rsidP="00D4119B">
      <w:pPr>
        <w:pStyle w:val="Nadpis2"/>
      </w:pPr>
      <w:r w:rsidRPr="00297AD8">
        <w:t>P</w:t>
      </w:r>
      <w:r w:rsidR="00D4119B">
        <w:t>roces schvaľovania</w:t>
      </w:r>
      <w:r w:rsidRPr="00297AD8">
        <w:t xml:space="preserve"> </w:t>
      </w:r>
      <w:r w:rsidR="00297AD8">
        <w:t xml:space="preserve">priamych </w:t>
      </w:r>
      <w:r w:rsidRPr="00297AD8">
        <w:t>podpôr</w:t>
      </w:r>
    </w:p>
    <w:p w:rsidR="008755A6" w:rsidRPr="008755A6" w:rsidRDefault="008755A6" w:rsidP="00D4119B">
      <w:pPr>
        <w:spacing w:line="240" w:lineRule="auto"/>
        <w:jc w:val="both"/>
        <w:rPr>
          <w:b/>
        </w:rPr>
      </w:pPr>
      <w:r w:rsidRPr="008755A6">
        <w:rPr>
          <w:b/>
        </w:rPr>
        <w:t>Podanie žiadosti</w:t>
      </w:r>
    </w:p>
    <w:p w:rsidR="00501611" w:rsidRDefault="00501611" w:rsidP="00D4119B">
      <w:pPr>
        <w:spacing w:line="240" w:lineRule="auto"/>
        <w:jc w:val="both"/>
      </w:pPr>
      <w:r>
        <w:t>Konanie o poskytnutí priamych podpôr začína podaním žiadosti, a to jednotnej žiadosti alebo osobitných žiadostí niektorých podporných schémach (platba na dobré životné podmienky zvierat, platba v rámci sústavy Natura 2000 na lesný pozemok a platb</w:t>
      </w:r>
      <w:r w:rsidR="008E3220">
        <w:t xml:space="preserve">a na </w:t>
      </w:r>
      <w:proofErr w:type="spellStart"/>
      <w:r w:rsidR="008E3220">
        <w:t>lesnícko</w:t>
      </w:r>
      <w:proofErr w:type="spellEnd"/>
      <w:r w:rsidR="008E3220">
        <w:t xml:space="preserve"> – environmentálne </w:t>
      </w:r>
      <w:r>
        <w:t>a klimatické služby a ochranu lesov, platba na prvé zalesnenie poľnohospodárskej pôdy). Žiadateľ môže podať žiadosť od termínu určeného vo výzve zverejnenej platobnou agentúrou na jej webovom sídle najneskôr do 15. mája príslušného roka.</w:t>
      </w:r>
    </w:p>
    <w:p w:rsidR="00A17C4F" w:rsidRDefault="00A17C4F" w:rsidP="00D4119B">
      <w:pPr>
        <w:spacing w:line="240" w:lineRule="auto"/>
        <w:jc w:val="both"/>
        <w:rPr>
          <w:b/>
        </w:rPr>
      </w:pPr>
    </w:p>
    <w:p w:rsidR="00F94AB7" w:rsidRPr="00F94AB7" w:rsidRDefault="00797C98" w:rsidP="00D4119B">
      <w:pPr>
        <w:spacing w:line="240" w:lineRule="auto"/>
        <w:jc w:val="both"/>
        <w:rPr>
          <w:b/>
        </w:rPr>
      </w:pPr>
      <w:r>
        <w:rPr>
          <w:b/>
        </w:rPr>
        <w:lastRenderedPageBreak/>
        <w:t>Administratívna</w:t>
      </w:r>
      <w:r w:rsidR="00F94AB7" w:rsidRPr="00F94AB7">
        <w:rPr>
          <w:b/>
        </w:rPr>
        <w:t xml:space="preserve"> kontrola</w:t>
      </w:r>
    </w:p>
    <w:p w:rsidR="00297AD8" w:rsidRDefault="001800BE" w:rsidP="00D4119B">
      <w:pPr>
        <w:spacing w:line="240" w:lineRule="auto"/>
        <w:jc w:val="both"/>
      </w:pPr>
      <w:r>
        <w:t>Následne</w:t>
      </w:r>
      <w:r w:rsidR="00501611">
        <w:t xml:space="preserve"> po podaní žiadosti platobná agentúra zapíše žiadosti do integrovaného administratívneho a kontrolného systému (</w:t>
      </w:r>
      <w:proofErr w:type="spellStart"/>
      <w:r w:rsidR="00AB689B">
        <w:t>Integrated</w:t>
      </w:r>
      <w:proofErr w:type="spellEnd"/>
      <w:r w:rsidR="00AB689B">
        <w:t xml:space="preserve"> </w:t>
      </w:r>
      <w:proofErr w:type="spellStart"/>
      <w:r w:rsidR="00AB689B">
        <w:t>Administration</w:t>
      </w:r>
      <w:proofErr w:type="spellEnd"/>
      <w:r w:rsidR="00AB689B">
        <w:t xml:space="preserve"> and </w:t>
      </w:r>
      <w:proofErr w:type="spellStart"/>
      <w:r w:rsidR="00AB689B">
        <w:t>Control</w:t>
      </w:r>
      <w:proofErr w:type="spellEnd"/>
      <w:r w:rsidR="00AB689B">
        <w:t xml:space="preserve"> </w:t>
      </w:r>
      <w:proofErr w:type="spellStart"/>
      <w:r w:rsidR="00AB689B">
        <w:t>System</w:t>
      </w:r>
      <w:proofErr w:type="spellEnd"/>
      <w:r w:rsidR="006A18A3">
        <w:t>,</w:t>
      </w:r>
      <w:r w:rsidR="00AB689B" w:rsidRPr="00AB689B">
        <w:t xml:space="preserve"> </w:t>
      </w:r>
      <w:r w:rsidR="00AB689B">
        <w:t>ďalej len „IACS“</w:t>
      </w:r>
      <w:r w:rsidR="00501611">
        <w:t>) a po zaevidovaní žiadostí do IACS prebiehajú na žiadostiach administratívne kontroly na základe podmienok uvedených pre každú príslušnú podpornú schému</w:t>
      </w:r>
      <w:r w:rsidR="008755A6">
        <w:t xml:space="preserve"> </w:t>
      </w:r>
      <w:r w:rsidR="00501611">
        <w:t>(vrátane krížových kontrol v IACS). Okrem dokumentov predložených žiadateľom platobná agentúra spracováva dáta z externých organizácií, ako napríklad Centrálna evidencia hospodárskych zvierat, Výskumný ústav pôdoznalectva a ochrany pôdy a pod. Nezrovnalosti zistené administratívnymi kontrolami sa oznamujú žiadateľom formou Oznámenia o nezrovnalostiach, na ktoré žiadatelia reagujú zaslaním vyplnenej špecifikácie nezrovnalostí, v ktorej majú žiadatelia možnosť vyjadriť sa k zisteným nezrovnalostiam.</w:t>
      </w:r>
    </w:p>
    <w:p w:rsidR="00F94AB7" w:rsidRDefault="00F94AB7" w:rsidP="00D4119B">
      <w:pPr>
        <w:spacing w:line="240" w:lineRule="auto"/>
        <w:jc w:val="both"/>
      </w:pPr>
    </w:p>
    <w:p w:rsidR="00F94AB7" w:rsidRPr="00F94AB7" w:rsidRDefault="00F94AB7" w:rsidP="00D4119B">
      <w:pPr>
        <w:spacing w:line="240" w:lineRule="auto"/>
        <w:jc w:val="both"/>
        <w:rPr>
          <w:b/>
        </w:rPr>
      </w:pPr>
      <w:r w:rsidRPr="00F94AB7">
        <w:rPr>
          <w:b/>
        </w:rPr>
        <w:t xml:space="preserve">Kontrola na mieste </w:t>
      </w:r>
      <w:r>
        <w:rPr>
          <w:b/>
        </w:rPr>
        <w:t>ako súčasť administratívnej kontroly</w:t>
      </w:r>
    </w:p>
    <w:p w:rsidR="00297AD8" w:rsidRDefault="00501611" w:rsidP="00D4119B">
      <w:pPr>
        <w:spacing w:line="240" w:lineRule="auto"/>
        <w:jc w:val="both"/>
      </w:pPr>
      <w:r>
        <w:t xml:space="preserve">Systém administratívnych kontrol je doplnený systémom kontrol na mieste (ďalej len „KNM“). </w:t>
      </w:r>
      <w:r w:rsidRPr="003B02F6">
        <w:t>KNM sa vykonávajú napríklad na základe rozporu po administratívnych kontrolách, keď sa zistí opakovaný nesúlad aj po doručení odpovede žiadateľa na oznámenie o nezrovnalostiach. KNM sa taktiež vykonávajú náhodným výberom na základe rizikovej analýzy a z dôvodu kontroly dodržiavania krížového plnenia.</w:t>
      </w:r>
    </w:p>
    <w:p w:rsidR="008755A6" w:rsidRDefault="008755A6" w:rsidP="00D4119B">
      <w:pPr>
        <w:spacing w:line="240" w:lineRule="auto"/>
        <w:jc w:val="both"/>
      </w:pPr>
    </w:p>
    <w:p w:rsidR="00297AD8" w:rsidRPr="00057149" w:rsidRDefault="00297AD8" w:rsidP="00D4119B">
      <w:pPr>
        <w:pStyle w:val="Nadpis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7149">
        <w:rPr>
          <w:rFonts w:ascii="Times New Roman" w:hAnsi="Times New Roman" w:cs="Times New Roman"/>
          <w:b/>
          <w:color w:val="auto"/>
          <w:sz w:val="24"/>
          <w:szCs w:val="24"/>
        </w:rPr>
        <w:t>Výber žiadateľov na kontrolu na mieste</w:t>
      </w:r>
    </w:p>
    <w:p w:rsidR="00297AD8" w:rsidRPr="00057149" w:rsidRDefault="00297AD8" w:rsidP="00D4119B">
      <w:pPr>
        <w:spacing w:line="240" w:lineRule="auto"/>
        <w:jc w:val="both"/>
      </w:pPr>
      <w:r w:rsidRPr="00057149">
        <w:t>Výber ži</w:t>
      </w:r>
      <w:r w:rsidR="00F94AB7">
        <w:t>adateľov na KNM</w:t>
      </w:r>
      <w:r w:rsidRPr="00057149">
        <w:t xml:space="preserve"> a kontrolu po</w:t>
      </w:r>
      <w:r w:rsidR="00F94AB7">
        <w:t>mocou diaľkového prieskumu Zeme</w:t>
      </w:r>
      <w:r w:rsidRPr="00057149">
        <w:t xml:space="preserve"> je zabez</w:t>
      </w:r>
      <w:r w:rsidR="00F94AB7">
        <w:t>pečený prostredníctvom rizikovej analýzy.</w:t>
      </w:r>
      <w:r w:rsidRPr="00057149">
        <w:t xml:space="preserve"> Kontroly podmienok oprávnenosti a taktiež kontroly jednotlivých podmienok krížového plnenia sa vykonávajú u žiadateľov vybratých prostredníctvom rizikovej analýzy a náhodného výberu v zmysle Hlavy III kapitoly III oddielu 1 VNK (EÚ) č. 809/2014.</w:t>
      </w:r>
    </w:p>
    <w:p w:rsidR="00297AD8" w:rsidRPr="00057149" w:rsidRDefault="00297AD8" w:rsidP="00D4119B">
      <w:pPr>
        <w:spacing w:line="240" w:lineRule="auto"/>
        <w:jc w:val="both"/>
      </w:pPr>
      <w:r w:rsidRPr="00057149">
        <w:t xml:space="preserve">Okrem rizikovej analýzy a náhodného výberu môžu byť žiadatelia vybraní na kontrolu </w:t>
      </w:r>
      <w:r w:rsidR="000A7DF8">
        <w:br/>
      </w:r>
      <w:r w:rsidRPr="00057149">
        <w:t>na mieste (oprávnenosť, krížové plnenie) aj z nasledovných dôvodov:</w:t>
      </w:r>
    </w:p>
    <w:p w:rsidR="00297AD8" w:rsidRPr="00A17C4F" w:rsidRDefault="00297AD8" w:rsidP="00A17C4F">
      <w:pPr>
        <w:pStyle w:val="Odsekzoznamu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rozpor pri diaľkovom prieskume zeme,</w:t>
      </w:r>
    </w:p>
    <w:p w:rsidR="00297AD8" w:rsidRPr="00A17C4F" w:rsidRDefault="00297AD8" w:rsidP="00A17C4F">
      <w:pPr>
        <w:pStyle w:val="Odsekzoznamu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rozpor po krížovej kontrole,</w:t>
      </w:r>
    </w:p>
    <w:p w:rsidR="00297AD8" w:rsidRPr="00A17C4F" w:rsidRDefault="00297AD8" w:rsidP="00A17C4F">
      <w:pPr>
        <w:pStyle w:val="Odsekzoznamu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„vyššia moc a mimoriadne okolnosti“,</w:t>
      </w:r>
    </w:p>
    <w:p w:rsidR="00297AD8" w:rsidRPr="00A17C4F" w:rsidRDefault="00297AD8" w:rsidP="00A17C4F">
      <w:pPr>
        <w:pStyle w:val="Odsekzoznamu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požiadavka z iných vecne príslušných organizačných útvarov,</w:t>
      </w:r>
    </w:p>
    <w:p w:rsidR="00297AD8" w:rsidRPr="00A17C4F" w:rsidRDefault="00297AD8" w:rsidP="00A17C4F">
      <w:pPr>
        <w:pStyle w:val="Odsekzoznamu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riešenie riadnych a mimoriadnych opravných prostriedkov (požiadavka z odboru rozhodovacích a správnych činností priamych podpôr, MPRV SR),</w:t>
      </w:r>
    </w:p>
    <w:p w:rsidR="00297AD8" w:rsidRPr="00A17C4F" w:rsidRDefault="00297AD8" w:rsidP="00A17C4F">
      <w:pPr>
        <w:pStyle w:val="Odsekzoznamu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požiadavka z externých kontrolných inštitúcií (napr. NKÚ SR, EÚ),</w:t>
      </w:r>
    </w:p>
    <w:p w:rsidR="00297AD8" w:rsidRPr="00A17C4F" w:rsidRDefault="00297AD8" w:rsidP="00A17C4F">
      <w:pPr>
        <w:pStyle w:val="Odsekzoznamu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opakovaná kontrola,</w:t>
      </w:r>
    </w:p>
    <w:p w:rsidR="00297AD8" w:rsidRPr="00A17C4F" w:rsidRDefault="00297AD8" w:rsidP="00A17C4F">
      <w:pPr>
        <w:pStyle w:val="Odsekzoznamu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kontrola Krížového plnenia n</w:t>
      </w:r>
      <w:r w:rsidR="0034625E">
        <w:rPr>
          <w:rFonts w:ascii="Times New Roman" w:hAnsi="Times New Roman"/>
          <w:sz w:val="24"/>
          <w:szCs w:val="24"/>
        </w:rPr>
        <w:t>a základe kontroly oprávnenosti,</w:t>
      </w:r>
    </w:p>
    <w:p w:rsidR="00297AD8" w:rsidRPr="00A17C4F" w:rsidRDefault="00297AD8" w:rsidP="00A17C4F">
      <w:pPr>
        <w:pStyle w:val="Odsekzoznamu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kontrola oprávnenosti na základe kontroly Krížového plnenia</w:t>
      </w:r>
      <w:r w:rsidR="0034625E">
        <w:rPr>
          <w:rFonts w:ascii="Times New Roman" w:hAnsi="Times New Roman"/>
          <w:sz w:val="24"/>
          <w:szCs w:val="24"/>
        </w:rPr>
        <w:t>,</w:t>
      </w:r>
      <w:r w:rsidRPr="00A17C4F">
        <w:rPr>
          <w:rFonts w:ascii="Times New Roman" w:hAnsi="Times New Roman"/>
          <w:sz w:val="24"/>
          <w:szCs w:val="24"/>
        </w:rPr>
        <w:t xml:space="preserve"> </w:t>
      </w:r>
    </w:p>
    <w:p w:rsidR="00297AD8" w:rsidRPr="00A17C4F" w:rsidRDefault="00297AD8" w:rsidP="00A17C4F">
      <w:pPr>
        <w:pStyle w:val="Odsekzoznamu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kontrola na základe štatútu "žltá karta" (explicitným výberom)</w:t>
      </w:r>
      <w:r w:rsidR="0034625E">
        <w:rPr>
          <w:rFonts w:ascii="Times New Roman" w:hAnsi="Times New Roman"/>
          <w:sz w:val="24"/>
          <w:szCs w:val="24"/>
        </w:rPr>
        <w:t>.</w:t>
      </w:r>
    </w:p>
    <w:p w:rsidR="00297AD8" w:rsidRDefault="00F94AB7" w:rsidP="00D4119B">
      <w:pPr>
        <w:pStyle w:val="Nadpis3"/>
        <w:spacing w:line="240" w:lineRule="auto"/>
        <w:ind w:left="0"/>
        <w:jc w:val="both"/>
        <w:rPr>
          <w:rFonts w:eastAsia="Times New Roman" w:cs="Times New Roman"/>
          <w:b w:val="0"/>
          <w:bCs w:val="0"/>
          <w:sz w:val="24"/>
          <w:szCs w:val="24"/>
        </w:rPr>
      </w:pPr>
      <w:bookmarkStart w:id="5" w:name="_Toc493149596"/>
      <w:r>
        <w:rPr>
          <w:rFonts w:eastAsia="Times New Roman" w:cs="Times New Roman"/>
          <w:b w:val="0"/>
          <w:bCs w:val="0"/>
          <w:sz w:val="24"/>
          <w:szCs w:val="24"/>
        </w:rPr>
        <w:t>Podrobnejší popis v</w:t>
      </w:r>
      <w:r w:rsidR="00297AD8">
        <w:rPr>
          <w:rFonts w:eastAsia="Times New Roman" w:cs="Times New Roman"/>
          <w:b w:val="0"/>
          <w:bCs w:val="0"/>
          <w:sz w:val="24"/>
          <w:szCs w:val="24"/>
        </w:rPr>
        <w:t>ýkon</w:t>
      </w:r>
      <w:r>
        <w:rPr>
          <w:rFonts w:eastAsia="Times New Roman" w:cs="Times New Roman"/>
          <w:b w:val="0"/>
          <w:bCs w:val="0"/>
          <w:sz w:val="24"/>
          <w:szCs w:val="24"/>
        </w:rPr>
        <w:t>u</w:t>
      </w:r>
      <w:r w:rsidR="00297AD8">
        <w:rPr>
          <w:rFonts w:eastAsia="Times New Roman" w:cs="Times New Roman"/>
          <w:b w:val="0"/>
          <w:bCs w:val="0"/>
          <w:sz w:val="24"/>
          <w:szCs w:val="24"/>
        </w:rPr>
        <w:t xml:space="preserve"> kontrol na mieste </w:t>
      </w:r>
      <w:r>
        <w:rPr>
          <w:rFonts w:eastAsia="Times New Roman" w:cs="Times New Roman"/>
          <w:b w:val="0"/>
          <w:bCs w:val="0"/>
          <w:sz w:val="24"/>
          <w:szCs w:val="24"/>
        </w:rPr>
        <w:t xml:space="preserve">môžete nájsť </w:t>
      </w:r>
      <w:r w:rsidR="00297AD8">
        <w:rPr>
          <w:rFonts w:eastAsia="Times New Roman" w:cs="Times New Roman"/>
          <w:b w:val="0"/>
          <w:bCs w:val="0"/>
          <w:sz w:val="24"/>
          <w:szCs w:val="24"/>
        </w:rPr>
        <w:t>v sprievodc</w:t>
      </w:r>
      <w:r>
        <w:rPr>
          <w:rFonts w:eastAsia="Times New Roman" w:cs="Times New Roman"/>
          <w:b w:val="0"/>
          <w:bCs w:val="0"/>
          <w:sz w:val="24"/>
          <w:szCs w:val="24"/>
        </w:rPr>
        <w:t>ovi</w:t>
      </w:r>
      <w:r w:rsidR="00297AD8">
        <w:rPr>
          <w:rFonts w:eastAsia="Times New Roman" w:cs="Times New Roman"/>
          <w:b w:val="0"/>
          <w:bCs w:val="0"/>
          <w:sz w:val="24"/>
          <w:szCs w:val="24"/>
        </w:rPr>
        <w:t xml:space="preserve"> kontroly</w:t>
      </w:r>
      <w:r>
        <w:rPr>
          <w:rFonts w:eastAsia="Times New Roman" w:cs="Times New Roman"/>
          <w:b w:val="0"/>
          <w:bCs w:val="0"/>
          <w:sz w:val="24"/>
          <w:szCs w:val="24"/>
        </w:rPr>
        <w:t xml:space="preserve"> tu</w:t>
      </w:r>
      <w:r w:rsidR="00297AD8">
        <w:rPr>
          <w:rFonts w:eastAsia="Times New Roman" w:cs="Times New Roman"/>
          <w:b w:val="0"/>
          <w:bCs w:val="0"/>
          <w:sz w:val="24"/>
          <w:szCs w:val="24"/>
        </w:rPr>
        <w:t>:</w:t>
      </w:r>
    </w:p>
    <w:p w:rsidR="00297AD8" w:rsidRDefault="007870D2" w:rsidP="00D4119B">
      <w:pPr>
        <w:spacing w:line="240" w:lineRule="auto"/>
      </w:pPr>
      <w:hyperlink r:id="rId8" w:history="1">
        <w:r w:rsidR="00297AD8" w:rsidRPr="00837049">
          <w:rPr>
            <w:rStyle w:val="Hypertextovprepojenie"/>
          </w:rPr>
          <w:t>http://www.apa.sk/aktuality/sprievodca-kontrolou-na-mieste-v-oblasti-priamych-podpor-a-neprojektovych-opatreni-prv-2014-2020/8624</w:t>
        </w:r>
      </w:hyperlink>
      <w:r w:rsidR="00297AD8">
        <w:t xml:space="preserve"> </w:t>
      </w:r>
    </w:p>
    <w:p w:rsidR="00297AD8" w:rsidRPr="00297AD8" w:rsidRDefault="00297AD8" w:rsidP="00D4119B">
      <w:pPr>
        <w:spacing w:line="240" w:lineRule="auto"/>
      </w:pPr>
    </w:p>
    <w:p w:rsidR="00297AD8" w:rsidRPr="00057149" w:rsidRDefault="00297AD8" w:rsidP="00D4119B">
      <w:pPr>
        <w:pStyle w:val="Nadpis3"/>
        <w:spacing w:line="240" w:lineRule="auto"/>
        <w:ind w:left="0"/>
        <w:jc w:val="both"/>
        <w:rPr>
          <w:rFonts w:eastAsiaTheme="majorEastAsia" w:cs="Times New Roman"/>
          <w:bCs w:val="0"/>
          <w:sz w:val="24"/>
          <w:szCs w:val="24"/>
        </w:rPr>
      </w:pPr>
      <w:r w:rsidRPr="00057149">
        <w:rPr>
          <w:rFonts w:eastAsiaTheme="majorEastAsia" w:cs="Times New Roman"/>
          <w:bCs w:val="0"/>
          <w:sz w:val="24"/>
          <w:szCs w:val="24"/>
        </w:rPr>
        <w:t xml:space="preserve">Kontrola na mieste </w:t>
      </w:r>
      <w:bookmarkEnd w:id="5"/>
      <w:r w:rsidRPr="00057149">
        <w:rPr>
          <w:rFonts w:eastAsiaTheme="majorEastAsia" w:cs="Times New Roman"/>
          <w:bCs w:val="0"/>
          <w:sz w:val="24"/>
          <w:szCs w:val="24"/>
        </w:rPr>
        <w:t>z dôvodu rozporu po krížových kontrolách</w:t>
      </w:r>
    </w:p>
    <w:p w:rsidR="00297AD8" w:rsidRPr="00057149" w:rsidRDefault="00297AD8" w:rsidP="00D4119B">
      <w:pPr>
        <w:spacing w:line="240" w:lineRule="auto"/>
        <w:jc w:val="both"/>
      </w:pPr>
      <w:r w:rsidRPr="00057149">
        <w:t xml:space="preserve">Pri kontrole na mieste z dôvodu rozporu po krížovej kontrole (na  dieloch, na ktorých vznikla </w:t>
      </w:r>
      <w:proofErr w:type="spellStart"/>
      <w:r w:rsidRPr="00057149">
        <w:t>nadvýmera</w:t>
      </w:r>
      <w:proofErr w:type="spellEnd"/>
      <w:r w:rsidRPr="00057149">
        <w:t xml:space="preserve"> na diele, resp. n</w:t>
      </w:r>
      <w:r w:rsidR="00F94AB7">
        <w:t xml:space="preserve">a ktorých vznikol </w:t>
      </w:r>
      <w:proofErr w:type="spellStart"/>
      <w:r w:rsidR="00F94AB7">
        <w:t>prekryv</w:t>
      </w:r>
      <w:proofErr w:type="spellEnd"/>
      <w:r w:rsidR="00F94AB7">
        <w:t xml:space="preserve"> v </w:t>
      </w:r>
      <w:proofErr w:type="spellStart"/>
      <w:r w:rsidR="00D13420">
        <w:t>geopriestorových</w:t>
      </w:r>
      <w:proofErr w:type="spellEnd"/>
      <w:r w:rsidR="00D13420">
        <w:t xml:space="preserve"> žiadostiach, tz</w:t>
      </w:r>
      <w:r w:rsidR="00F94AB7">
        <w:t>v. GSAA</w:t>
      </w:r>
      <w:r w:rsidRPr="00057149">
        <w:t xml:space="preserve">) postupuje kontrolná skupina v zmysle ustanovení  § 16a až 16c zákona č. 543/2007 </w:t>
      </w:r>
      <w:r w:rsidR="00C652CF">
        <w:br/>
      </w:r>
      <w:r w:rsidRPr="00057149">
        <w:t xml:space="preserve">Z. z. a podľa NV SR č. 342/2014 Z. z. v zn. n p. Kontrolná skupina </w:t>
      </w:r>
      <w:r w:rsidR="00F94AB7">
        <w:t>(ďalej len „KS“)</w:t>
      </w:r>
      <w:r w:rsidR="00D7572E">
        <w:t xml:space="preserve"> </w:t>
      </w:r>
      <w:r w:rsidRPr="00057149">
        <w:t>vždy preskúma u všetkých sporných žiadateľov plnenie podmienok oprávnenosti v zmysle NV SR č. 342/2014 Z. z. (ďalej „ustanovené podmienky“).</w:t>
      </w:r>
      <w:bookmarkStart w:id="6" w:name="_GoBack"/>
      <w:bookmarkEnd w:id="6"/>
    </w:p>
    <w:p w:rsidR="00297AD8" w:rsidRPr="00057149" w:rsidRDefault="00297AD8" w:rsidP="00D4119B">
      <w:pPr>
        <w:spacing w:line="240" w:lineRule="auto"/>
        <w:jc w:val="both"/>
      </w:pPr>
      <w:r w:rsidRPr="00057149">
        <w:lastRenderedPageBreak/>
        <w:t>Pri určovaní stanovenej plochy postupuje</w:t>
      </w:r>
      <w:r w:rsidR="00F94AB7">
        <w:t xml:space="preserve"> KS</w:t>
      </w:r>
      <w:r w:rsidRPr="00057149">
        <w:t xml:space="preserve"> podľa §16b zákona č. 543/2007 Z. z. a teda vyzve sporných žiadateľov, aby v lehote, ktorú im zároveň určí, preukázali plnenie ustanovených podmienok a právo užívania k pôde. Právom užívania k pôde sa rozumie právo túto pôdu užívať ako vlastník, nájomca</w:t>
      </w:r>
      <w:r w:rsidR="008E3220">
        <w:t>,</w:t>
      </w:r>
      <w:r w:rsidRPr="00057149">
        <w:t xml:space="preserve"> alebo na</w:t>
      </w:r>
      <w:r w:rsidR="00F94AB7">
        <w:t xml:space="preserve"> základe iného právneho dôvodu.</w:t>
      </w:r>
      <w:r w:rsidRPr="00057149">
        <w:t xml:space="preserve"> KS vyzve sporné strany </w:t>
      </w:r>
      <w:r w:rsidR="008977D1">
        <w:br/>
      </w:r>
      <w:r w:rsidRPr="00057149">
        <w:t xml:space="preserve">na predloženie dokladov preukazujúcich obhospodarovanie poľnohospodárskej pôdy </w:t>
      </w:r>
      <w:r w:rsidR="008977D1">
        <w:br/>
      </w:r>
      <w:r w:rsidRPr="00057149">
        <w:t>na predmetných dieloch a dokladov preukazujúcich právo  užívania predmetných dielov listom.</w:t>
      </w:r>
    </w:p>
    <w:p w:rsidR="00297AD8" w:rsidRPr="00057149" w:rsidRDefault="00297AD8" w:rsidP="00D4119B">
      <w:pPr>
        <w:spacing w:line="240" w:lineRule="auto"/>
        <w:jc w:val="both"/>
      </w:pPr>
      <w:r w:rsidRPr="00057149">
        <w:t>Právo užívania sa preukazuje výpisom z listu vlastníctva, nájomnými, podnájomnými zmluvami a inými zmluvami uzatvorenými v zmysle príslušných ustanovení Občianskeho alebo Obchodného zákonníka</w:t>
      </w:r>
      <w:r w:rsidR="00A5306A">
        <w:t>.</w:t>
      </w:r>
    </w:p>
    <w:p w:rsidR="00297AD8" w:rsidRPr="00057149" w:rsidRDefault="00297AD8" w:rsidP="00D4119B">
      <w:pPr>
        <w:spacing w:line="240" w:lineRule="auto"/>
        <w:jc w:val="both"/>
      </w:pPr>
      <w:r w:rsidRPr="00057149">
        <w:t xml:space="preserve">Pokiaľ sa právo užívania k sporným pozemkom odvodzuje od nájomných zmlúv, kontroluje sa predovšetkým, či predložené nájomné zmluvy obsahujú povinné náležitosti, bez ktorých by boli zmluvy absolútne neplatné. </w:t>
      </w:r>
    </w:p>
    <w:p w:rsidR="00297AD8" w:rsidRPr="00297AD8" w:rsidRDefault="00F94AB7" w:rsidP="00D4119B">
      <w:pPr>
        <w:spacing w:line="240" w:lineRule="auto"/>
        <w:jc w:val="both"/>
      </w:pPr>
      <w:r>
        <w:t>KS</w:t>
      </w:r>
      <w:r w:rsidR="00297AD8" w:rsidRPr="00057149">
        <w:t xml:space="preserve"> pri posudzovaní existencie užívacieho práva nerozhoduje o platnosti, resp. neplatnosti zmlúv ani nerieši súkromnoprávne spory žiadateľov (ak jeden žiadateľ bránil druhému v obhospodarovaní) tým, že by rozhodla o spornom užívacom práve v prospech niektorého </w:t>
      </w:r>
      <w:r w:rsidR="005D45C5">
        <w:br/>
      </w:r>
      <w:r w:rsidR="00297AD8" w:rsidRPr="00057149">
        <w:t xml:space="preserve">zo žiadateľov. Jedná sa o súkromnoprávne spory, ktoré sú kompetentné riešiť len súdy v rámci </w:t>
      </w:r>
      <w:proofErr w:type="spellStart"/>
      <w:r w:rsidR="00297AD8" w:rsidRPr="00057149">
        <w:t>občiansko</w:t>
      </w:r>
      <w:proofErr w:type="spellEnd"/>
      <w:r w:rsidR="00297AD8" w:rsidRPr="00057149">
        <w:t xml:space="preserve"> - právneho konania. O platnosti zmlúv je oprávnený ro</w:t>
      </w:r>
      <w:r w:rsidR="00B52045">
        <w:t>zhodovať iba súd. KS môže</w:t>
      </w:r>
      <w:r w:rsidR="00297AD8" w:rsidRPr="00057149">
        <w:t xml:space="preserve"> konštatovať, že predloženou zmluvou žiadateľ </w:t>
      </w:r>
      <w:r w:rsidR="00297AD8" w:rsidRPr="00297AD8">
        <w:t>nedostatočne preukázal svoj právny vzťah k pôde.</w:t>
      </w:r>
      <w:r>
        <w:t xml:space="preserve"> KS</w:t>
      </w:r>
      <w:r w:rsidR="00297AD8" w:rsidRPr="00057149">
        <w:t xml:space="preserve"> nerobí žiadne </w:t>
      </w:r>
      <w:proofErr w:type="spellStart"/>
      <w:r w:rsidR="00297AD8" w:rsidRPr="00057149">
        <w:t>prekryvy</w:t>
      </w:r>
      <w:proofErr w:type="spellEnd"/>
      <w:r w:rsidR="00297AD8" w:rsidRPr="00057149">
        <w:t xml:space="preserve"> katastrálnych parciel na LPIS, preukázanie uvedených skutočností patrí do pôsobnosti žiadateľa.</w:t>
      </w:r>
    </w:p>
    <w:p w:rsidR="00297AD8" w:rsidRPr="00057149" w:rsidRDefault="00F94AB7" w:rsidP="00D4119B">
      <w:pPr>
        <w:spacing w:line="240" w:lineRule="auto"/>
        <w:jc w:val="both"/>
      </w:pPr>
      <w:r>
        <w:t>KS</w:t>
      </w:r>
      <w:r w:rsidR="00297AD8" w:rsidRPr="00057149">
        <w:t xml:space="preserve"> len vyzve žiadateľov na predloženie dokladov preukazujúcich užívacie právo k pôde, overí, či predložené doklady spĺňajú základné náležitosti. </w:t>
      </w:r>
    </w:p>
    <w:p w:rsidR="00297AD8" w:rsidRDefault="00297AD8" w:rsidP="00D4119B">
      <w:pPr>
        <w:spacing w:line="240" w:lineRule="auto"/>
        <w:jc w:val="both"/>
      </w:pPr>
    </w:p>
    <w:p w:rsidR="00297AD8" w:rsidRPr="00297AD8" w:rsidRDefault="00297AD8" w:rsidP="00D4119B">
      <w:pPr>
        <w:spacing w:line="240" w:lineRule="auto"/>
        <w:jc w:val="both"/>
        <w:rPr>
          <w:b/>
        </w:rPr>
      </w:pPr>
      <w:r>
        <w:rPr>
          <w:b/>
        </w:rPr>
        <w:t>Vyhodnotenie</w:t>
      </w:r>
      <w:r w:rsidRPr="00297AD8">
        <w:rPr>
          <w:b/>
        </w:rPr>
        <w:t xml:space="preserve"> výsledkov </w:t>
      </w:r>
      <w:r>
        <w:rPr>
          <w:b/>
        </w:rPr>
        <w:t xml:space="preserve">administratívnych </w:t>
      </w:r>
      <w:r w:rsidRPr="00297AD8">
        <w:rPr>
          <w:b/>
        </w:rPr>
        <w:t>kontrol</w:t>
      </w:r>
      <w:r>
        <w:rPr>
          <w:b/>
        </w:rPr>
        <w:t xml:space="preserve"> a kontrol na mieste</w:t>
      </w:r>
    </w:p>
    <w:p w:rsidR="00297AD8" w:rsidRPr="003B02F6" w:rsidRDefault="00501611" w:rsidP="00D4119B">
      <w:pPr>
        <w:spacing w:line="240" w:lineRule="auto"/>
        <w:jc w:val="both"/>
      </w:pPr>
      <w:r>
        <w:t>V rámci konania platobná agentúra skúma podmienky stanovené európskou a národnou legislatívou na poskytnutie podpôr. V prípade, ak žiadateľ o priame podpory splní legislatívne podmienky na posky</w:t>
      </w:r>
      <w:r w:rsidR="00F94AB7">
        <w:t>tnutie podpôr, PPA</w:t>
      </w:r>
      <w:r>
        <w:t xml:space="preserve"> vydá rozhodnutie vo veci, ktorým schváli žiadateľovi platby na požadované podporné schémy na určenú výmeru poľnohospodárskej plochy</w:t>
      </w:r>
      <w:r w:rsidR="00B118F2">
        <w:t>,</w:t>
      </w:r>
      <w:r>
        <w:t xml:space="preserve"> resp. </w:t>
      </w:r>
      <w:r w:rsidR="00B90353">
        <w:br/>
      </w:r>
      <w:r>
        <w:t xml:space="preserve">na určený počet hospodárskych zvierat. Ak by sa u žiadateľa zistilo porušenie podmienok </w:t>
      </w:r>
      <w:r w:rsidR="00B90353">
        <w:br/>
      </w:r>
      <w:r>
        <w:t>na poskytnutie priamych podpôr, platobná agentúra uplatní sankčný mechanizmus stanovený legislatívou.</w:t>
      </w:r>
    </w:p>
    <w:p w:rsidR="00297AD8" w:rsidRDefault="00501611" w:rsidP="00D4119B">
      <w:pPr>
        <w:spacing w:line="240" w:lineRule="auto"/>
        <w:jc w:val="both"/>
      </w:pPr>
      <w:r w:rsidRPr="004F4BBA">
        <w:t>Základnou podmienkou na poskytnutie priamych podpôr nie je preukázanie oprávnenosti užívania pôdy</w:t>
      </w:r>
      <w:r>
        <w:t>, ale dosiahnutie výmery najmenej 1 ha, pričom táto výmera môže predstavovať viaceré súvislé diely pôdnych blokov príslušného druhu poľnohospodárskej plochy s výmerou najmenej 0,3 ha obhospodarovanej jedným žiadateľom a mať viditeľne označené a vymedzené hranice, ak nie je prirodzene ohraničená</w:t>
      </w:r>
      <w:r w:rsidRPr="004F4BBA">
        <w:t>. Preukázanie oprávnenosti užívať poľnohospodársku pôdu sa vyžaduje len v prípadoch, keď platobná agentúra postupuje podľa § 16b ods. 1 zákona č. 543/2007 Z. z.</w:t>
      </w:r>
      <w:r w:rsidR="00E00F31">
        <w:t>,</w:t>
      </w:r>
      <w:r w:rsidRPr="004F4BBA">
        <w:t xml:space="preserve"> resp. od 01.01.2018 v zmysle § 28 a § 29 zákona č. 280/2017 Z. z., ktorý stanovuje, že ak žiadosť o poskytnutie podpory na tú istú poľnohospodársku pôdu podali viacerí žiadatelia, platobná agentúra ich vyzve</w:t>
      </w:r>
      <w:r w:rsidR="00E00F31">
        <w:t>,</w:t>
      </w:r>
      <w:r w:rsidRPr="004F4BBA">
        <w:t xml:space="preserve"> aby v lehote, ktorú im zároveň určí, preukázali plnenie ustanovených podmienok a právo užívania k pôde. Právom užívať pôdu sa rozumie právo túto pôdu užívať ako vlastník, nájomca alebo na základe iného právneho dôvodu. </w:t>
      </w:r>
    </w:p>
    <w:p w:rsidR="00501611" w:rsidRDefault="00501611" w:rsidP="00D4119B">
      <w:pPr>
        <w:spacing w:line="240" w:lineRule="auto"/>
        <w:jc w:val="both"/>
      </w:pPr>
      <w:r>
        <w:t>Povinnou prílohou žiadostí o priame podpory v zmysle platnej právnej úpravy nie sú nájomné zmluvy ako ani listy vlastníctva, ale grafický materiál poľnohospodárskej plochy, ktorá je vedená v evidencii dielov pôdnych blokov, zoznam poľnohospodárskych pozemkov a čestné vyhlásenie o pravdivosti predkladaných údajov.</w:t>
      </w:r>
    </w:p>
    <w:p w:rsidR="00297AD8" w:rsidRPr="004F4BBA" w:rsidRDefault="00501611" w:rsidP="00D4119B">
      <w:pPr>
        <w:spacing w:line="240" w:lineRule="auto"/>
        <w:jc w:val="both"/>
      </w:pPr>
      <w:r w:rsidRPr="004F4BBA">
        <w:t xml:space="preserve">V nadväznosti na to, sa priame platby poskytnú žiadateľovi, ktorý na výzvu príslušného orgánu riadne preukáže vlastnícke právo k poľnohospodárskej ploche alebo právo užívať poľnohospodársku plochu. V prípade, že sa zistí, že právo užívania žiadateľov k pôde je sporné, platobná agentúra na spornej výmere neurčí stanovenú plochu a v súlade s ustanovenými </w:t>
      </w:r>
      <w:r w:rsidRPr="004F4BBA">
        <w:lastRenderedPageBreak/>
        <w:t>podmienkami rozhodne podľa osobitného predpisu, t. j. výmera spornej pôdy u dotknutých žiadateľov sa dostane do nadhodnotenia, pričom podľa výšky nadhodnotenia platobná agentúra pristúpi k</w:t>
      </w:r>
      <w:r w:rsidR="00E00F31">
        <w:t> </w:t>
      </w:r>
      <w:r w:rsidRPr="004F4BBA">
        <w:t>zníženiu</w:t>
      </w:r>
      <w:r w:rsidR="00E00F31">
        <w:t>,</w:t>
      </w:r>
      <w:r w:rsidRPr="004F4BBA">
        <w:t xml:space="preserve"> príp. neposkytnutiu podpory. Proti rozhodnutiu o poskytnutí podpory zníženej o spornú výmeru nie je prípustný opravný prostriedok. Z vyššie uvedeného vyplýva, že v prípade sporného práva užívania poľnohospodárskej pôdy, platobná agentúra poskytne podporu tomu žiadateľovi, ktorý jednoznačne preukáže užívacie právo k spornej poľnohospodárskej pôde relevantnými dôkazmi a zároveň preukáže obhospodarovanie tejto pôdy a splní ďalšie podmienky vyžadované platnou legislatívou Slovenskej republiky a Európskej únie. </w:t>
      </w:r>
    </w:p>
    <w:p w:rsidR="00297AD8" w:rsidRPr="004F4BBA" w:rsidRDefault="00501611" w:rsidP="00D4119B">
      <w:pPr>
        <w:spacing w:line="240" w:lineRule="auto"/>
        <w:jc w:val="both"/>
      </w:pPr>
      <w:r w:rsidRPr="004F4BBA">
        <w:t>V zmysle správne</w:t>
      </w:r>
      <w:r w:rsidR="00F94AB7">
        <w:t>ho poriadku si PPA</w:t>
      </w:r>
      <w:r w:rsidRPr="004F4BBA">
        <w:t xml:space="preserve"> v záujme zistenia presného a úplného skutočného stavu veci pri rozhodovaní o poskytnutí podpory vždy obstaráva potrebné podklady, ktorými sú najmä podania, vyjadrenia účastníka konania, dôkazy, čestné vyhlásenia, výsledky uskutočnených kontrol. Pričom kľúčovým podkladom pre vydanie každého rozhodnutia o poskytnutí podpory  sú výsledky uskutočnených kontrol. </w:t>
      </w:r>
    </w:p>
    <w:p w:rsidR="00501611" w:rsidRPr="004F4BBA" w:rsidRDefault="00501611" w:rsidP="00D4119B">
      <w:pPr>
        <w:spacing w:line="240" w:lineRule="auto"/>
        <w:jc w:val="both"/>
      </w:pPr>
      <w:r>
        <w:t>V zmysle civilného sporového poriad</w:t>
      </w:r>
      <w:r w:rsidRPr="004F4BBA">
        <w:t>k</w:t>
      </w:r>
      <w:r>
        <w:t>u</w:t>
      </w:r>
      <w:r w:rsidRPr="004F4BBA">
        <w:t xml:space="preserve"> je iba súd oprávnený rozhodnúť na základe </w:t>
      </w:r>
      <w:r w:rsidR="002B290B">
        <w:br/>
      </w:r>
      <w:r w:rsidRPr="004F4BBA">
        <w:t>tzv. určovacej žaloby o určení, či tu právo je alebo nie je, ak je na tom naliehavý právny záujem. Pričom naliehavý právny záujem nie je potrebné preukazovať, ak vyplýva z osobitného predpisu. Z uvedeného vyplýva, že pla</w:t>
      </w:r>
      <w:r>
        <w:t xml:space="preserve">tobná agentúra nie je orgánom príslušným na určenie platnosti, resp. neplatnosti zmlúv. </w:t>
      </w:r>
    </w:p>
    <w:p w:rsidR="00F94AB7" w:rsidRDefault="00AB689B" w:rsidP="00D4119B">
      <w:pPr>
        <w:spacing w:line="240" w:lineRule="auto"/>
        <w:jc w:val="both"/>
        <w:rPr>
          <w:iCs/>
        </w:rPr>
      </w:pPr>
      <w:r>
        <w:rPr>
          <w:iCs/>
        </w:rPr>
        <w:t>Usmernenia MPRV SR k pl</w:t>
      </w:r>
      <w:r w:rsidR="00F94AB7">
        <w:rPr>
          <w:iCs/>
        </w:rPr>
        <w:t>atnej právnej úprave nájdete tu:</w:t>
      </w:r>
    </w:p>
    <w:p w:rsidR="00AB689B" w:rsidRDefault="007870D2" w:rsidP="00D4119B">
      <w:pPr>
        <w:spacing w:line="240" w:lineRule="auto"/>
        <w:jc w:val="both"/>
        <w:rPr>
          <w:iCs/>
        </w:rPr>
      </w:pPr>
      <w:hyperlink r:id="rId9" w:history="1">
        <w:r w:rsidR="00AB689B" w:rsidRPr="00837049">
          <w:rPr>
            <w:rStyle w:val="Hypertextovprepojenie"/>
            <w:iCs/>
          </w:rPr>
          <w:t>http://www.apa.sk/usmernenia</w:t>
        </w:r>
      </w:hyperlink>
      <w:r w:rsidR="00AB689B">
        <w:rPr>
          <w:iCs/>
        </w:rPr>
        <w:t>.</w:t>
      </w:r>
    </w:p>
    <w:p w:rsidR="00F94AB7" w:rsidRDefault="00AB689B" w:rsidP="00D4119B">
      <w:pPr>
        <w:spacing w:line="240" w:lineRule="auto"/>
        <w:jc w:val="both"/>
        <w:rPr>
          <w:iCs/>
        </w:rPr>
      </w:pPr>
      <w:r>
        <w:rPr>
          <w:iCs/>
        </w:rPr>
        <w:t>Pr</w:t>
      </w:r>
      <w:r w:rsidR="00F94AB7">
        <w:rPr>
          <w:iCs/>
        </w:rPr>
        <w:t>íručku pre žiadateľov nájdete tu:</w:t>
      </w:r>
      <w:r>
        <w:rPr>
          <w:iCs/>
        </w:rPr>
        <w:t xml:space="preserve"> </w:t>
      </w:r>
    </w:p>
    <w:p w:rsidR="00AB689B" w:rsidRPr="00AB689B" w:rsidRDefault="007870D2" w:rsidP="00D4119B">
      <w:pPr>
        <w:spacing w:line="240" w:lineRule="auto"/>
        <w:jc w:val="both"/>
        <w:rPr>
          <w:iCs/>
        </w:rPr>
      </w:pPr>
      <w:hyperlink r:id="rId10" w:history="1">
        <w:r w:rsidR="00AB689B" w:rsidRPr="00837049">
          <w:rPr>
            <w:rStyle w:val="Hypertextovprepojenie"/>
            <w:iCs/>
          </w:rPr>
          <w:t>http://www.apa.sk/priame-a-agro-environmentalne-podpory-oznamenia/prirucka/8132</w:t>
        </w:r>
      </w:hyperlink>
      <w:r w:rsidR="00AB689B">
        <w:rPr>
          <w:iCs/>
        </w:rPr>
        <w:t xml:space="preserve"> .</w:t>
      </w:r>
    </w:p>
    <w:p w:rsidR="00057149" w:rsidRDefault="00057149" w:rsidP="00D4119B">
      <w:pPr>
        <w:spacing w:line="240" w:lineRule="auto"/>
        <w:jc w:val="both"/>
      </w:pPr>
    </w:p>
    <w:p w:rsidR="00A17C4F" w:rsidRPr="00A17C4F" w:rsidRDefault="00A17C4F" w:rsidP="006105C1">
      <w:pPr>
        <w:pStyle w:val="Nadpis2"/>
      </w:pPr>
      <w:r w:rsidRPr="00A17C4F">
        <w:t>Pravidlá pre realizáciu platieb</w:t>
      </w:r>
    </w:p>
    <w:p w:rsidR="00A17C4F" w:rsidRPr="006105C1" w:rsidRDefault="00A17C4F" w:rsidP="006105C1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05C1">
        <w:rPr>
          <w:rFonts w:ascii="Times New Roman" w:hAnsi="Times New Roman"/>
          <w:sz w:val="24"/>
          <w:szCs w:val="24"/>
        </w:rPr>
        <w:t xml:space="preserve">V organizačnej štruktúre PPA sú stanovené jednoznačné právomoci a zodpovednosti </w:t>
      </w:r>
      <w:r w:rsidR="00842481">
        <w:rPr>
          <w:rFonts w:ascii="Times New Roman" w:hAnsi="Times New Roman"/>
          <w:sz w:val="24"/>
          <w:szCs w:val="24"/>
        </w:rPr>
        <w:br/>
      </w:r>
      <w:r w:rsidRPr="006105C1">
        <w:rPr>
          <w:rFonts w:ascii="Times New Roman" w:hAnsi="Times New Roman"/>
          <w:sz w:val="24"/>
          <w:szCs w:val="24"/>
        </w:rPr>
        <w:t xml:space="preserve">na všetkých úrovniach činnosti, ako aj oddelenie troch funkcií (povoľovanie a kontrola platieb, realizácia platieb, účtovníctvo), pri ktorých sa zodpovednosti definujú </w:t>
      </w:r>
      <w:r w:rsidR="002B290B">
        <w:rPr>
          <w:rFonts w:ascii="Times New Roman" w:hAnsi="Times New Roman"/>
          <w:sz w:val="24"/>
          <w:szCs w:val="24"/>
        </w:rPr>
        <w:br/>
      </w:r>
      <w:r w:rsidRPr="006105C1">
        <w:rPr>
          <w:rFonts w:ascii="Times New Roman" w:hAnsi="Times New Roman"/>
          <w:sz w:val="24"/>
          <w:szCs w:val="24"/>
        </w:rPr>
        <w:t>v organizačnej štruktúre</w:t>
      </w:r>
      <w:r w:rsidR="002B290B">
        <w:rPr>
          <w:rFonts w:ascii="Times New Roman" w:hAnsi="Times New Roman"/>
          <w:sz w:val="24"/>
          <w:szCs w:val="24"/>
        </w:rPr>
        <w:t>.</w:t>
      </w:r>
    </w:p>
    <w:p w:rsidR="00A17C4F" w:rsidRPr="006105C1" w:rsidRDefault="00A17C4F" w:rsidP="006105C1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05C1">
        <w:rPr>
          <w:rFonts w:ascii="Times New Roman" w:hAnsi="Times New Roman"/>
          <w:sz w:val="24"/>
          <w:szCs w:val="24"/>
        </w:rPr>
        <w:t>Je zabezpečené také rozdelenie povinností, aby žiadny zamestnanec nebol zodpovedný za viac ako jednu z úloh povoľovania, vyplácania alebo účtovania súm a aby žiadny zamestnanec nevykonával ktorúkoľvek z týchto úloh bez dohľadu ďalšieho zamestnanca</w:t>
      </w:r>
      <w:r w:rsidR="00E17033">
        <w:rPr>
          <w:rFonts w:ascii="Times New Roman" w:hAnsi="Times New Roman"/>
          <w:sz w:val="24"/>
          <w:szCs w:val="24"/>
        </w:rPr>
        <w:t>.</w:t>
      </w:r>
    </w:p>
    <w:p w:rsidR="00A17C4F" w:rsidRPr="006105C1" w:rsidRDefault="00A17C4F" w:rsidP="006105C1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105C1">
        <w:rPr>
          <w:rFonts w:ascii="Times New Roman" w:hAnsi="Times New Roman"/>
          <w:sz w:val="24"/>
          <w:szCs w:val="24"/>
        </w:rPr>
        <w:t>Stanovenie zodpovedností každého zamestnanca je v písomnom opise pracovného miesta.</w:t>
      </w:r>
    </w:p>
    <w:p w:rsidR="00A17C4F" w:rsidRPr="006105C1" w:rsidRDefault="00A17C4F" w:rsidP="006105C1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105C1">
        <w:rPr>
          <w:rFonts w:ascii="Times New Roman" w:hAnsi="Times New Roman"/>
          <w:bCs/>
          <w:sz w:val="24"/>
          <w:szCs w:val="24"/>
        </w:rPr>
        <w:t>PPA realizuje potrebné postupy na zabezpečenie, aby sa platby realizovali iba na bankové účty patriace príjemcom</w:t>
      </w:r>
      <w:r w:rsidR="006B26D9">
        <w:rPr>
          <w:rFonts w:ascii="Times New Roman" w:hAnsi="Times New Roman"/>
          <w:bCs/>
          <w:sz w:val="24"/>
          <w:szCs w:val="24"/>
        </w:rPr>
        <w:t>,</w:t>
      </w:r>
      <w:r w:rsidRPr="006105C1">
        <w:rPr>
          <w:rFonts w:ascii="Times New Roman" w:hAnsi="Times New Roman"/>
          <w:bCs/>
          <w:sz w:val="24"/>
          <w:szCs w:val="24"/>
        </w:rPr>
        <w:t xml:space="preserve"> alebo ich splnomocneným zástupcom. Žiadne platby sa neuskutočňujú v hotovosti. Platby na účty prijímateľom sa realizujú prostredníctvom IS Štátnej pokladnice. Schvaľovanie zo strany povoľujúceho zamestnanca a/alebo jeho nadriadeného sa vykonávajú elektronickými prostriedkami (je zabezpečená zodpovedajúca úroveň bezpečnosti týchto prostriedkov a totožnosť signatára je zapísaná v elektronických záznamoch)</w:t>
      </w:r>
      <w:r w:rsidR="00E17033">
        <w:rPr>
          <w:rFonts w:ascii="Times New Roman" w:hAnsi="Times New Roman"/>
          <w:bCs/>
          <w:sz w:val="24"/>
          <w:szCs w:val="24"/>
        </w:rPr>
        <w:t>.</w:t>
      </w:r>
    </w:p>
    <w:p w:rsidR="00A17C4F" w:rsidRPr="006105C1" w:rsidRDefault="00A17C4F" w:rsidP="006105C1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05C1">
        <w:rPr>
          <w:rFonts w:ascii="Times New Roman" w:hAnsi="Times New Roman"/>
          <w:sz w:val="24"/>
          <w:szCs w:val="24"/>
        </w:rPr>
        <w:t xml:space="preserve">Všetky činnosti súvisiace s výkonom platobnej funkcie sú vykonávané na základe princípu štyroch očí, čím sú vytvorené také podmienky, aby o výdavku (realizácii platby) nemohol rozhodnúť jeden zamestnanec bez toho, aby jeho činnosť nebola skontrolovaná druhou oprávnenou osobou. Každá pracovná činnosť vykonaná zamestnancom je následne skontrolovaná druhým oprávneným zamestnancom. </w:t>
      </w:r>
    </w:p>
    <w:p w:rsidR="00A17C4F" w:rsidRDefault="00A17C4F" w:rsidP="00A17C4F">
      <w:pPr>
        <w:spacing w:line="240" w:lineRule="auto"/>
        <w:jc w:val="both"/>
        <w:rPr>
          <w:b/>
          <w:bCs/>
        </w:rPr>
      </w:pPr>
    </w:p>
    <w:p w:rsidR="00E17033" w:rsidRPr="00A17C4F" w:rsidRDefault="00E17033" w:rsidP="00A17C4F">
      <w:pPr>
        <w:spacing w:line="240" w:lineRule="auto"/>
        <w:jc w:val="both"/>
        <w:rPr>
          <w:b/>
          <w:bCs/>
        </w:rPr>
      </w:pPr>
    </w:p>
    <w:p w:rsidR="00A17C4F" w:rsidRPr="00A17C4F" w:rsidRDefault="00A17C4F" w:rsidP="00A17C4F">
      <w:pPr>
        <w:spacing w:line="240" w:lineRule="auto"/>
        <w:jc w:val="both"/>
        <w:rPr>
          <w:b/>
          <w:bCs/>
        </w:rPr>
      </w:pPr>
      <w:r w:rsidRPr="00A17C4F">
        <w:rPr>
          <w:b/>
          <w:bCs/>
        </w:rPr>
        <w:lastRenderedPageBreak/>
        <w:t>Pravidlá pre pozastavenie vyplácania platieb z dôvodu nezrovnalosti</w:t>
      </w:r>
    </w:p>
    <w:p w:rsidR="00A17C4F" w:rsidRPr="00A17C4F" w:rsidRDefault="00A17C4F" w:rsidP="00A17C4F">
      <w:pPr>
        <w:spacing w:line="240" w:lineRule="auto"/>
        <w:jc w:val="both"/>
      </w:pPr>
      <w:r w:rsidRPr="00A17C4F">
        <w:t xml:space="preserve">V záujme ochrany finančných záujmov EÚ a SR, PPA schválením vystavenej správy o zistenej nezrovnalosti pozastaví vyplácanie príspevku alebo podpory v rámci EPZF a EPFRV (finančných prostriedkov EÚ a spolufinancovania zo štátneho rozpočtu) prijímateľovi až </w:t>
      </w:r>
      <w:r w:rsidR="006C7FEB">
        <w:br/>
      </w:r>
      <w:r w:rsidRPr="00A17C4F">
        <w:t xml:space="preserve">do momentu vysporiadania celej sumy nezrovnalosti a prislúchajúcich penále/úrokov </w:t>
      </w:r>
      <w:r w:rsidR="00AD2C1B">
        <w:br/>
      </w:r>
      <w:r w:rsidRPr="00A17C4F">
        <w:t>z omeškania, prípadne do nepotvrdenia nezrovnalosti. Ak je u prijímateľa evidovaná viac ako jedna nezrovnalosť, odblokovanie prijímateľa sa vykoná automaticky až po úplnom vysporiadaní/vyriešení všetkých nezrovnalostí. V záujme zabezpečenia ochrany finančných záujmov EÚ je automaticky blokované vyplatenie finančných prostriedkov u tých prijímateľom, ktorí nemajú vysporiadané finančné vzťahy.</w:t>
      </w:r>
    </w:p>
    <w:p w:rsidR="00A17C4F" w:rsidRPr="00A17C4F" w:rsidRDefault="00A17C4F" w:rsidP="00A17C4F">
      <w:pPr>
        <w:spacing w:line="240" w:lineRule="auto"/>
        <w:jc w:val="both"/>
      </w:pPr>
    </w:p>
    <w:p w:rsidR="00A17C4F" w:rsidRPr="00A17C4F" w:rsidRDefault="00A17C4F" w:rsidP="00A17C4F">
      <w:pPr>
        <w:spacing w:line="240" w:lineRule="auto"/>
        <w:jc w:val="both"/>
        <w:rPr>
          <w:b/>
          <w:bCs/>
        </w:rPr>
      </w:pPr>
      <w:r w:rsidRPr="00A17C4F">
        <w:rPr>
          <w:b/>
          <w:bCs/>
        </w:rPr>
        <w:t>Postupy pre vymáhanie nezrovnalosti</w:t>
      </w:r>
    </w:p>
    <w:p w:rsidR="00A17C4F" w:rsidRPr="00A17C4F" w:rsidRDefault="00A17C4F" w:rsidP="006105C1">
      <w:pPr>
        <w:pStyle w:val="Odsekzoznamu"/>
        <w:numPr>
          <w:ilvl w:val="0"/>
          <w:numId w:val="2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PPA na základe Správy o zistenej nezrovnalosti zabezpečí v rámci administratívneho konania vystavenie Žiadosti o vysporiadanie finančných vzťahov a tieto dokumenty zašle dlžníkovi</w:t>
      </w:r>
      <w:r w:rsidR="003B4A92">
        <w:rPr>
          <w:rFonts w:ascii="Times New Roman" w:hAnsi="Times New Roman"/>
          <w:sz w:val="24"/>
          <w:szCs w:val="24"/>
        </w:rPr>
        <w:t>.</w:t>
      </w:r>
    </w:p>
    <w:p w:rsidR="00A17C4F" w:rsidRPr="00A17C4F" w:rsidRDefault="00A17C4F" w:rsidP="006105C1">
      <w:pPr>
        <w:pStyle w:val="Odsekzoznamu"/>
        <w:numPr>
          <w:ilvl w:val="0"/>
          <w:numId w:val="2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V prípade úhrady v lehote splatnosti uvedenej v Žiadosti o vysporiadanie finančných vzťahov sa zabezpečí odblokovanie dlžníka v informačnom systéme</w:t>
      </w:r>
      <w:r w:rsidR="003B4A92">
        <w:rPr>
          <w:rFonts w:ascii="Times New Roman" w:hAnsi="Times New Roman"/>
          <w:sz w:val="24"/>
          <w:szCs w:val="24"/>
        </w:rPr>
        <w:t>.</w:t>
      </w:r>
    </w:p>
    <w:p w:rsidR="00A17C4F" w:rsidRPr="00453D87" w:rsidRDefault="00A17C4F" w:rsidP="00453D87">
      <w:pPr>
        <w:pStyle w:val="Odsekzoznamu"/>
        <w:numPr>
          <w:ilvl w:val="0"/>
          <w:numId w:val="2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Ak nezrovnalosť nie je uhradená v lehote splatnosti, dochádza k vymáhaniu nezrovnalosti v správnom konaní</w:t>
      </w:r>
      <w:r w:rsidR="00453D87">
        <w:rPr>
          <w:rFonts w:ascii="Times New Roman" w:hAnsi="Times New Roman"/>
          <w:sz w:val="24"/>
          <w:szCs w:val="24"/>
        </w:rPr>
        <w:t xml:space="preserve">, </w:t>
      </w:r>
      <w:r w:rsidRPr="00453D87">
        <w:rPr>
          <w:rFonts w:ascii="Times New Roman" w:hAnsi="Times New Roman"/>
          <w:sz w:val="24"/>
          <w:szCs w:val="24"/>
        </w:rPr>
        <w:t>v rámci ktorého PPA vystaví Oznámenie o začatí správneho konania. V prípade, ak dlžník v stanovenej lehote nereaguje na Oznámenie, PPA vydá Rozhodnutie o uložení dlhu</w:t>
      </w:r>
      <w:r w:rsidR="00453D87">
        <w:rPr>
          <w:rFonts w:ascii="Times New Roman" w:hAnsi="Times New Roman"/>
          <w:sz w:val="24"/>
          <w:szCs w:val="24"/>
        </w:rPr>
        <w:t>.</w:t>
      </w:r>
    </w:p>
    <w:p w:rsidR="00A17C4F" w:rsidRPr="00A17C4F" w:rsidRDefault="00A17C4F" w:rsidP="006105C1">
      <w:pPr>
        <w:pStyle w:val="Odsekzoznamu"/>
        <w:numPr>
          <w:ilvl w:val="0"/>
          <w:numId w:val="2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 xml:space="preserve">Ak ani vtedy dlžník neuhradí nezrovnalosť, pristúpi sa k vymáhaniu nezrovnalosti </w:t>
      </w:r>
      <w:r w:rsidR="009307A7">
        <w:rPr>
          <w:rFonts w:ascii="Times New Roman" w:hAnsi="Times New Roman"/>
          <w:sz w:val="24"/>
          <w:szCs w:val="24"/>
        </w:rPr>
        <w:br/>
      </w:r>
      <w:r w:rsidRPr="00A17C4F">
        <w:rPr>
          <w:rFonts w:ascii="Times New Roman" w:hAnsi="Times New Roman"/>
          <w:sz w:val="24"/>
          <w:szCs w:val="24"/>
        </w:rPr>
        <w:t xml:space="preserve">v exekučnom konaní. </w:t>
      </w:r>
    </w:p>
    <w:p w:rsidR="00A17C4F" w:rsidRPr="00A17C4F" w:rsidRDefault="00A17C4F" w:rsidP="00A17C4F">
      <w:pPr>
        <w:spacing w:line="240" w:lineRule="auto"/>
        <w:jc w:val="both"/>
        <w:rPr>
          <w:b/>
          <w:bCs/>
        </w:rPr>
      </w:pPr>
    </w:p>
    <w:p w:rsidR="00A17C4F" w:rsidRPr="00A17C4F" w:rsidRDefault="00A17C4F" w:rsidP="00A17C4F">
      <w:pPr>
        <w:spacing w:line="240" w:lineRule="auto"/>
        <w:jc w:val="both"/>
        <w:rPr>
          <w:b/>
          <w:bCs/>
        </w:rPr>
      </w:pPr>
      <w:r w:rsidRPr="00A17C4F">
        <w:rPr>
          <w:b/>
          <w:bCs/>
        </w:rPr>
        <w:t>Pravidlá pre pozastavenie vyplácania platieb z dôvodu sankcií budúcich období</w:t>
      </w:r>
    </w:p>
    <w:p w:rsidR="00A17C4F" w:rsidRPr="00A17C4F" w:rsidRDefault="00A17C4F" w:rsidP="006105C1">
      <w:pPr>
        <w:pStyle w:val="Odsekzoznamu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Započítanie sankcií budúcich období (ďalej len „SBO“) sa vykonáva v zmysle nariadenia Komisie (NK č. 908/2014, resp. č. 885/2006), v zmysle ktorého bola sankcia udelená</w:t>
      </w:r>
      <w:r w:rsidR="00CF4542">
        <w:rPr>
          <w:rFonts w:ascii="Times New Roman" w:hAnsi="Times New Roman"/>
          <w:sz w:val="24"/>
          <w:szCs w:val="24"/>
        </w:rPr>
        <w:t>.</w:t>
      </w:r>
    </w:p>
    <w:p w:rsidR="00A17C4F" w:rsidRPr="00A17C4F" w:rsidRDefault="00A17C4F" w:rsidP="006105C1">
      <w:pPr>
        <w:pStyle w:val="Odsekzoznamu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>Započítava sa voči podporám poskytovaným z EPFRV alebo EPZF</w:t>
      </w:r>
      <w:r w:rsidR="00CF4542">
        <w:rPr>
          <w:rFonts w:ascii="Times New Roman" w:hAnsi="Times New Roman"/>
          <w:sz w:val="24"/>
          <w:szCs w:val="24"/>
        </w:rPr>
        <w:t>.</w:t>
      </w:r>
    </w:p>
    <w:p w:rsidR="00A17C4F" w:rsidRPr="00A17C4F" w:rsidRDefault="00A17C4F" w:rsidP="006105C1">
      <w:pPr>
        <w:pStyle w:val="Odsekzoznamu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C4F">
        <w:rPr>
          <w:rFonts w:ascii="Times New Roman" w:hAnsi="Times New Roman"/>
          <w:sz w:val="24"/>
          <w:szCs w:val="24"/>
        </w:rPr>
        <w:t xml:space="preserve">SBO, resp. nezapočítaný zostatok SBO zanikne po uplynutí troch kalendárnych rokov nasledujúcich po roku zistenia sankcie. V prípade, že má prijímateľ udelených viac SBO započítajú sa postupne. Postup vykonávania zápočtov SBO sa riadi kontrolou „4 očí“. </w:t>
      </w:r>
    </w:p>
    <w:p w:rsidR="00F94AB7" w:rsidRPr="00A17C4F" w:rsidRDefault="00F94AB7" w:rsidP="00A17C4F">
      <w:pPr>
        <w:spacing w:after="120" w:line="240" w:lineRule="auto"/>
        <w:jc w:val="both"/>
        <w:rPr>
          <w:b/>
        </w:rPr>
      </w:pPr>
    </w:p>
    <w:p w:rsidR="00326BBF" w:rsidRPr="008755A6" w:rsidRDefault="008755A6" w:rsidP="00CD48F0">
      <w:pPr>
        <w:pStyle w:val="Nadpis2"/>
      </w:pPr>
      <w:r w:rsidRPr="008755A6">
        <w:t>Vnútorná kontrola</w:t>
      </w:r>
    </w:p>
    <w:p w:rsidR="008755A6" w:rsidRDefault="008755A6" w:rsidP="006105C1">
      <w:pPr>
        <w:spacing w:line="240" w:lineRule="auto"/>
        <w:jc w:val="both"/>
      </w:pPr>
      <w:r>
        <w:t xml:space="preserve">V záujme ochrany finančných záujmov EÚ vstupuje do procesu poskytovania priamych platieb interná vnútorná kontrola PPA prostredníctvom riešenia podnetov, sťažností, dožiadaní a indícií možného porušenia pravidiel poskytovania podpôr a zneužívania finančných záujmov EÚ. Taktiež poskytuje súčinnosť orgánom činným v trestnom konaní  a kontrolným orgánom </w:t>
      </w:r>
      <w:r w:rsidR="00CF4542">
        <w:br/>
      </w:r>
      <w:r>
        <w:t>pri preverovaní možných nezrovnalostí nielen za aktuálnu kampaň, ale aj za predchádzajúce obdobia.</w:t>
      </w:r>
    </w:p>
    <w:p w:rsidR="00A17C4F" w:rsidRDefault="00A17C4F" w:rsidP="00F94AB7">
      <w:pPr>
        <w:spacing w:line="240" w:lineRule="auto"/>
        <w:jc w:val="both"/>
        <w:rPr>
          <w:sz w:val="22"/>
          <w:szCs w:val="22"/>
          <w:lang w:eastAsia="en-US"/>
        </w:rPr>
      </w:pPr>
    </w:p>
    <w:p w:rsidR="008755A6" w:rsidRDefault="008755A6" w:rsidP="00CD48F0">
      <w:pPr>
        <w:pStyle w:val="Nadpis2"/>
        <w:rPr>
          <w:lang w:eastAsia="en-US"/>
        </w:rPr>
      </w:pPr>
      <w:r>
        <w:t>Vnútorný audit a externé audity</w:t>
      </w:r>
      <w:r w:rsidR="00174049">
        <w:t xml:space="preserve"> a kontroly</w:t>
      </w:r>
    </w:p>
    <w:p w:rsidR="00174049" w:rsidRDefault="00174049" w:rsidP="006105C1">
      <w:pPr>
        <w:autoSpaceDE w:val="0"/>
        <w:autoSpaceDN w:val="0"/>
        <w:spacing w:line="240" w:lineRule="auto"/>
        <w:jc w:val="both"/>
      </w:pPr>
      <w:r>
        <w:rPr>
          <w:rFonts w:ascii="AGaramondPro-Regular" w:hAnsi="AGaramondPro-Regular"/>
          <w:color w:val="050505"/>
        </w:rPr>
        <w:t xml:space="preserve">Prostredníctvom vnútorného auditu </w:t>
      </w:r>
      <w:r w:rsidR="008755A6">
        <w:rPr>
          <w:rFonts w:ascii="AGaramondPro-Regular" w:hAnsi="AGaramondPro-Regular"/>
          <w:color w:val="050505"/>
        </w:rPr>
        <w:t xml:space="preserve">PPA </w:t>
      </w:r>
      <w:r>
        <w:rPr>
          <w:rFonts w:ascii="AGaramondPro-Regular" w:hAnsi="AGaramondPro-Regular"/>
          <w:color w:val="050505"/>
        </w:rPr>
        <w:t xml:space="preserve">overuje, </w:t>
      </w:r>
      <w:r>
        <w:t xml:space="preserve"> či sú postupy zavedené organizáciou </w:t>
      </w:r>
      <w:r w:rsidR="00B66B45">
        <w:br/>
      </w:r>
      <w:r>
        <w:rPr>
          <w:rFonts w:ascii="AGaramondPro-Regular" w:hAnsi="AGaramondPro-Regular"/>
          <w:color w:val="050505"/>
        </w:rPr>
        <w:t xml:space="preserve">pri administrovaní, schvaľovaní a vyplácaní  podpôr  </w:t>
      </w:r>
      <w:r>
        <w:t>v súlade s pravidlami EÚ.</w:t>
      </w:r>
      <w:r w:rsidR="00CD48F0">
        <w:t xml:space="preserve"> </w:t>
      </w:r>
      <w:r w:rsidR="008755A6">
        <w:t xml:space="preserve">Okrem vnútorných auditov,  ktoré sú vykonávané v súlade so schváleným plánom auditov a v zmysle </w:t>
      </w:r>
      <w:r>
        <w:t xml:space="preserve">medzinárodných </w:t>
      </w:r>
      <w:r w:rsidR="00B63684">
        <w:t>štandardov prebieha</w:t>
      </w:r>
      <w:r w:rsidR="008755A6">
        <w:t xml:space="preserve"> každoročne v PPA niekoľko  externých auditov a</w:t>
      </w:r>
      <w:r w:rsidR="00B63684">
        <w:t> </w:t>
      </w:r>
      <w:r w:rsidR="008755A6">
        <w:t>kontrol či už zo strany Európskej Komisie, E</w:t>
      </w:r>
      <w:r>
        <w:t>urópskeho dvora audítorov</w:t>
      </w:r>
      <w:r w:rsidR="008755A6">
        <w:t>, N</w:t>
      </w:r>
      <w:r>
        <w:t>ajvyššieho kontrolného úradu</w:t>
      </w:r>
      <w:r w:rsidR="008755A6">
        <w:t xml:space="preserve"> SR</w:t>
      </w:r>
      <w:r>
        <w:t>, Úradu vlády SR a pod.</w:t>
      </w:r>
    </w:p>
    <w:p w:rsidR="008755A6" w:rsidRPr="008755A6" w:rsidRDefault="008755A6" w:rsidP="00F94AB7">
      <w:pPr>
        <w:autoSpaceDE w:val="0"/>
        <w:autoSpaceDN w:val="0"/>
        <w:spacing w:line="240" w:lineRule="auto"/>
        <w:jc w:val="both"/>
        <w:rPr>
          <w:rFonts w:ascii="AGaramondPro-Regular" w:hAnsi="AGaramondPro-Regular"/>
          <w:b/>
          <w:bCs/>
          <w:color w:val="050505"/>
          <w:lang w:eastAsia="en-US"/>
        </w:rPr>
      </w:pPr>
      <w:r>
        <w:lastRenderedPageBreak/>
        <w:t>Certifikačný orgán každoročne vykonáva certifikačný audit všetkých podpôr adm</w:t>
      </w:r>
      <w:r w:rsidR="00A26C7F">
        <w:t>inistrovaných PPA a overuje, </w:t>
      </w:r>
      <w:r>
        <w:t>či sú účty PPA presné</w:t>
      </w:r>
      <w:r w:rsidR="00A26C7F">
        <w:t>, úplné a vypracované včas a či</w:t>
      </w:r>
      <w:r>
        <w:t xml:space="preserve"> účtovná závierka PPA poskytuje pravdivý a verný obraz vo všetkých významných súvislostiach  v zmysle  legislatívy EÚ a v zmysle Usmernení Európskej Komisie.</w:t>
      </w:r>
    </w:p>
    <w:p w:rsidR="008755A6" w:rsidRPr="00057149" w:rsidRDefault="008755A6" w:rsidP="00057149">
      <w:pPr>
        <w:spacing w:after="120" w:line="240" w:lineRule="auto"/>
        <w:jc w:val="both"/>
      </w:pPr>
    </w:p>
    <w:sectPr w:rsidR="008755A6" w:rsidRPr="000571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D2" w:rsidRDefault="007870D2" w:rsidP="00057149">
      <w:pPr>
        <w:spacing w:line="240" w:lineRule="auto"/>
      </w:pPr>
      <w:r>
        <w:separator/>
      </w:r>
    </w:p>
  </w:endnote>
  <w:endnote w:type="continuationSeparator" w:id="0">
    <w:p w:rsidR="007870D2" w:rsidRDefault="007870D2" w:rsidP="00057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012783"/>
      <w:docPartObj>
        <w:docPartGallery w:val="Page Numbers (Bottom of Page)"/>
        <w:docPartUnique/>
      </w:docPartObj>
    </w:sdtPr>
    <w:sdtEndPr/>
    <w:sdtContent>
      <w:p w:rsidR="00057149" w:rsidRDefault="000571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420">
          <w:rPr>
            <w:noProof/>
          </w:rPr>
          <w:t>6</w:t>
        </w:r>
        <w:r>
          <w:fldChar w:fldCharType="end"/>
        </w:r>
      </w:p>
    </w:sdtContent>
  </w:sdt>
  <w:p w:rsidR="00057149" w:rsidRDefault="000571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D2" w:rsidRDefault="007870D2" w:rsidP="00057149">
      <w:pPr>
        <w:spacing w:line="240" w:lineRule="auto"/>
      </w:pPr>
      <w:r>
        <w:separator/>
      </w:r>
    </w:p>
  </w:footnote>
  <w:footnote w:type="continuationSeparator" w:id="0">
    <w:p w:rsidR="007870D2" w:rsidRDefault="007870D2" w:rsidP="000571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D26"/>
    <w:multiLevelType w:val="hybridMultilevel"/>
    <w:tmpl w:val="3DB82A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40993"/>
    <w:multiLevelType w:val="hybridMultilevel"/>
    <w:tmpl w:val="D5F80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756"/>
    <w:multiLevelType w:val="multilevel"/>
    <w:tmpl w:val="F95858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7635D"/>
    <w:multiLevelType w:val="hybridMultilevel"/>
    <w:tmpl w:val="5110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2FB6"/>
    <w:multiLevelType w:val="hybridMultilevel"/>
    <w:tmpl w:val="224E8A56"/>
    <w:lvl w:ilvl="0" w:tplc="448C2F98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3CB7"/>
    <w:multiLevelType w:val="hybridMultilevel"/>
    <w:tmpl w:val="EB4A28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A93"/>
    <w:multiLevelType w:val="hybridMultilevel"/>
    <w:tmpl w:val="C8F03EE2"/>
    <w:lvl w:ilvl="0" w:tplc="2C3C7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334C"/>
    <w:multiLevelType w:val="hybridMultilevel"/>
    <w:tmpl w:val="3B883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B705B2"/>
    <w:multiLevelType w:val="hybridMultilevel"/>
    <w:tmpl w:val="CB341B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73E0"/>
    <w:multiLevelType w:val="hybridMultilevel"/>
    <w:tmpl w:val="53A424AA"/>
    <w:lvl w:ilvl="0" w:tplc="F26E1434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43CB7"/>
    <w:multiLevelType w:val="hybridMultilevel"/>
    <w:tmpl w:val="F418EAC8"/>
    <w:lvl w:ilvl="0" w:tplc="0D62AE44">
      <w:start w:val="2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7D56"/>
    <w:multiLevelType w:val="hybridMultilevel"/>
    <w:tmpl w:val="3956F4EC"/>
    <w:lvl w:ilvl="0" w:tplc="448C2F98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9346D"/>
    <w:multiLevelType w:val="hybridMultilevel"/>
    <w:tmpl w:val="1000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71A0C"/>
    <w:multiLevelType w:val="hybridMultilevel"/>
    <w:tmpl w:val="DCD67E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E6E31"/>
    <w:multiLevelType w:val="hybridMultilevel"/>
    <w:tmpl w:val="D9DC528E"/>
    <w:lvl w:ilvl="0" w:tplc="2C3C7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139A3"/>
    <w:multiLevelType w:val="hybridMultilevel"/>
    <w:tmpl w:val="ADF2C960"/>
    <w:lvl w:ilvl="0" w:tplc="7820D93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2AF9"/>
    <w:multiLevelType w:val="hybridMultilevel"/>
    <w:tmpl w:val="2632D440"/>
    <w:lvl w:ilvl="0" w:tplc="041B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54B82"/>
    <w:multiLevelType w:val="hybridMultilevel"/>
    <w:tmpl w:val="0D06057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9176C"/>
    <w:multiLevelType w:val="hybridMultilevel"/>
    <w:tmpl w:val="200CD838"/>
    <w:lvl w:ilvl="0" w:tplc="448C2F98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D1491"/>
    <w:multiLevelType w:val="hybridMultilevel"/>
    <w:tmpl w:val="790C2FA8"/>
    <w:lvl w:ilvl="0" w:tplc="6F964DE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B000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E485D44"/>
    <w:multiLevelType w:val="hybridMultilevel"/>
    <w:tmpl w:val="71CC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6"/>
  </w:num>
  <w:num w:numId="5">
    <w:abstractNumId w:val="5"/>
  </w:num>
  <w:num w:numId="6">
    <w:abstractNumId w:val="15"/>
  </w:num>
  <w:num w:numId="7">
    <w:abstractNumId w:val="18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6"/>
  </w:num>
  <w:num w:numId="15">
    <w:abstractNumId w:val="8"/>
  </w:num>
  <w:num w:numId="16">
    <w:abstractNumId w:val="12"/>
  </w:num>
  <w:num w:numId="17">
    <w:abstractNumId w:val="7"/>
  </w:num>
  <w:num w:numId="18">
    <w:abstractNumId w:val="0"/>
  </w:num>
  <w:num w:numId="19">
    <w:abstractNumId w:val="3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02"/>
    <w:rsid w:val="00001ACB"/>
    <w:rsid w:val="00057149"/>
    <w:rsid w:val="00094A35"/>
    <w:rsid w:val="000A29BC"/>
    <w:rsid w:val="000A7DF8"/>
    <w:rsid w:val="00112D0A"/>
    <w:rsid w:val="00174049"/>
    <w:rsid w:val="001800BE"/>
    <w:rsid w:val="001F2215"/>
    <w:rsid w:val="0026740A"/>
    <w:rsid w:val="00297AD8"/>
    <w:rsid w:val="002B290B"/>
    <w:rsid w:val="00326BBF"/>
    <w:rsid w:val="0034011F"/>
    <w:rsid w:val="0034625E"/>
    <w:rsid w:val="003B4A92"/>
    <w:rsid w:val="00400B33"/>
    <w:rsid w:val="00406E0C"/>
    <w:rsid w:val="004135BD"/>
    <w:rsid w:val="00453D87"/>
    <w:rsid w:val="004D4A52"/>
    <w:rsid w:val="00501611"/>
    <w:rsid w:val="005D45C5"/>
    <w:rsid w:val="006105C1"/>
    <w:rsid w:val="006871CF"/>
    <w:rsid w:val="006A18A3"/>
    <w:rsid w:val="006B26D9"/>
    <w:rsid w:val="006C7FEB"/>
    <w:rsid w:val="007870D2"/>
    <w:rsid w:val="00797C98"/>
    <w:rsid w:val="007D2AEA"/>
    <w:rsid w:val="00842481"/>
    <w:rsid w:val="008755A6"/>
    <w:rsid w:val="008803BA"/>
    <w:rsid w:val="00892E92"/>
    <w:rsid w:val="008977D1"/>
    <w:rsid w:val="008E3220"/>
    <w:rsid w:val="009307A7"/>
    <w:rsid w:val="009B3D06"/>
    <w:rsid w:val="00A17C4F"/>
    <w:rsid w:val="00A26C7F"/>
    <w:rsid w:val="00A5306A"/>
    <w:rsid w:val="00A861B2"/>
    <w:rsid w:val="00AB689B"/>
    <w:rsid w:val="00AD2C1B"/>
    <w:rsid w:val="00B04564"/>
    <w:rsid w:val="00B118F2"/>
    <w:rsid w:val="00B11D2A"/>
    <w:rsid w:val="00B12402"/>
    <w:rsid w:val="00B52045"/>
    <w:rsid w:val="00B63684"/>
    <w:rsid w:val="00B66B45"/>
    <w:rsid w:val="00B90353"/>
    <w:rsid w:val="00C0782B"/>
    <w:rsid w:val="00C36AA3"/>
    <w:rsid w:val="00C652CF"/>
    <w:rsid w:val="00CD48F0"/>
    <w:rsid w:val="00CE64ED"/>
    <w:rsid w:val="00CF4542"/>
    <w:rsid w:val="00D13420"/>
    <w:rsid w:val="00D4119B"/>
    <w:rsid w:val="00D7572E"/>
    <w:rsid w:val="00DC14B3"/>
    <w:rsid w:val="00DC2F08"/>
    <w:rsid w:val="00E00F31"/>
    <w:rsid w:val="00E17033"/>
    <w:rsid w:val="00E40148"/>
    <w:rsid w:val="00ED0620"/>
    <w:rsid w:val="00F57E4A"/>
    <w:rsid w:val="00F91CBD"/>
    <w:rsid w:val="00F94AB7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D339-9403-4F0F-B6E4-65BBD33C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1B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2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2E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A861B2"/>
    <w:pPr>
      <w:keepNext/>
      <w:ind w:left="567"/>
      <w:outlineLvl w:val="2"/>
    </w:pPr>
    <w:rPr>
      <w:rFonts w:eastAsia="Arial Unicode MS" w:cs="Arial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861B2"/>
    <w:rPr>
      <w:rFonts w:ascii="Times New Roman" w:eastAsia="Arial Unicode MS" w:hAnsi="Times New Roman" w:cs="Arial"/>
      <w:b/>
      <w:bCs/>
      <w:sz w:val="28"/>
      <w:szCs w:val="2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A86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A861B2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892E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styleId="Siln">
    <w:name w:val="Strong"/>
    <w:uiPriority w:val="99"/>
    <w:qFormat/>
    <w:rsid w:val="00892E92"/>
    <w:rPr>
      <w:b/>
      <w:bCs/>
    </w:rPr>
  </w:style>
  <w:style w:type="character" w:customStyle="1" w:styleId="h1a1">
    <w:name w:val="h1a1"/>
    <w:rsid w:val="00892E92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5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5B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57149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71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7149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71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D2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112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7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aktuality/sprievodca-kontrolou-na-mieste-v-oblasti-priamych-podpor-a-neprojektovych-opatreni-prv-2014-2020/86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a.sk/pre-priame-podp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a.sk/priame-a-agro-environmentalne-podpory-oznamenia/prirucka/8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usmerneni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Ošust Michal</dc:creator>
  <cp:keywords/>
  <dc:description/>
  <cp:lastModifiedBy>Jargašová Tatiana</cp:lastModifiedBy>
  <cp:revision>36</cp:revision>
  <cp:lastPrinted>2018-03-06T14:55:00Z</cp:lastPrinted>
  <dcterms:created xsi:type="dcterms:W3CDTF">2018-03-07T06:14:00Z</dcterms:created>
  <dcterms:modified xsi:type="dcterms:W3CDTF">2018-03-07T07:07:00Z</dcterms:modified>
</cp:coreProperties>
</file>